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70B0C" w14:textId="57965217" w:rsidR="008329E5" w:rsidRDefault="008329E5" w:rsidP="00A25C02">
      <w:pPr>
        <w:pStyle w:val="Header"/>
        <w:rPr>
          <w:b/>
          <w:bCs/>
          <w:sz w:val="26"/>
          <w:szCs w:val="26"/>
          <w:lang w:val="en-GB"/>
        </w:rPr>
      </w:pPr>
      <w:r w:rsidRPr="00FE34B7">
        <w:rPr>
          <w:b/>
          <w:bCs/>
          <w:noProof/>
          <w:sz w:val="42"/>
          <w:szCs w:val="42"/>
        </w:rPr>
        <w:drawing>
          <wp:anchor distT="0" distB="0" distL="114300" distR="114300" simplePos="0" relativeHeight="251662336" behindDoc="0" locked="0" layoutInCell="1" allowOverlap="1" wp14:anchorId="74C5CF48" wp14:editId="0E33000C">
            <wp:simplePos x="0" y="0"/>
            <wp:positionH relativeFrom="margin">
              <wp:posOffset>3856990</wp:posOffset>
            </wp:positionH>
            <wp:positionV relativeFrom="paragraph">
              <wp:posOffset>15875</wp:posOffset>
            </wp:positionV>
            <wp:extent cx="2209800" cy="1017900"/>
            <wp:effectExtent l="0" t="0" r="0" b="0"/>
            <wp:wrapNone/>
            <wp:docPr id="19" name="Picture 19" descr="A blue and green background with a pengui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ue and green background with a penguin and sta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9800" cy="101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D56D6" w14:textId="08198F2C" w:rsidR="00217E8A" w:rsidRDefault="00217E8A" w:rsidP="00A25C02">
      <w:pPr>
        <w:pStyle w:val="Header"/>
        <w:rPr>
          <w:b/>
          <w:bCs/>
          <w:sz w:val="26"/>
          <w:szCs w:val="26"/>
          <w:lang w:val="en-GB"/>
        </w:rPr>
      </w:pPr>
      <w:r>
        <w:rPr>
          <w:b/>
          <w:bCs/>
          <w:sz w:val="26"/>
          <w:szCs w:val="26"/>
          <w:lang w:val="en-GB"/>
        </w:rPr>
        <w:t xml:space="preserve">Shire of Pingelly Submission to the </w:t>
      </w:r>
    </w:p>
    <w:p w14:paraId="1C3FBB0B" w14:textId="77777777" w:rsidR="00A43812" w:rsidRDefault="00A43812" w:rsidP="00A25C02">
      <w:pPr>
        <w:pStyle w:val="Header"/>
        <w:rPr>
          <w:b/>
          <w:bCs/>
          <w:sz w:val="26"/>
          <w:szCs w:val="26"/>
          <w:lang w:val="en-GB"/>
        </w:rPr>
      </w:pPr>
    </w:p>
    <w:p w14:paraId="09DAAF2F" w14:textId="38BBEB54" w:rsidR="00A25C02" w:rsidRDefault="00A43812" w:rsidP="00A25C02">
      <w:pPr>
        <w:pStyle w:val="Header"/>
        <w:rPr>
          <w:b/>
          <w:bCs/>
          <w:sz w:val="26"/>
          <w:szCs w:val="26"/>
          <w:lang w:val="en-GB"/>
        </w:rPr>
      </w:pPr>
      <w:r>
        <w:rPr>
          <w:b/>
          <w:bCs/>
          <w:sz w:val="26"/>
          <w:szCs w:val="26"/>
          <w:lang w:val="en-GB"/>
        </w:rPr>
        <w:t xml:space="preserve">Standing Committee on Regional Development, </w:t>
      </w:r>
    </w:p>
    <w:p w14:paraId="1FE053EF" w14:textId="04AB3FD1" w:rsidR="00A43812" w:rsidRDefault="00A43812" w:rsidP="00A25C02">
      <w:pPr>
        <w:pStyle w:val="Header"/>
        <w:rPr>
          <w:b/>
          <w:bCs/>
          <w:sz w:val="26"/>
          <w:szCs w:val="26"/>
          <w:lang w:val="en-GB"/>
        </w:rPr>
      </w:pPr>
      <w:r>
        <w:rPr>
          <w:b/>
          <w:bCs/>
          <w:sz w:val="26"/>
          <w:szCs w:val="26"/>
          <w:lang w:val="en-GB"/>
        </w:rPr>
        <w:t>Infrastructure and Transport</w:t>
      </w:r>
    </w:p>
    <w:p w14:paraId="4F06251C" w14:textId="77777777" w:rsidR="008329E5" w:rsidRDefault="008329E5" w:rsidP="00A25C02">
      <w:pPr>
        <w:pStyle w:val="Header"/>
        <w:rPr>
          <w:b/>
          <w:bCs/>
          <w:sz w:val="26"/>
          <w:szCs w:val="26"/>
          <w:lang w:val="en-GB"/>
        </w:rPr>
      </w:pPr>
    </w:p>
    <w:p w14:paraId="636B6A99" w14:textId="773F2AC5" w:rsidR="00217E8A" w:rsidRPr="00A43812" w:rsidRDefault="00217E8A" w:rsidP="00217E8A">
      <w:pPr>
        <w:pStyle w:val="Header"/>
        <w:rPr>
          <w:b/>
          <w:bCs/>
          <w:sz w:val="36"/>
          <w:szCs w:val="36"/>
          <w:lang w:val="en-GB"/>
        </w:rPr>
      </w:pPr>
      <w:r w:rsidRPr="00A43812">
        <w:rPr>
          <w:b/>
          <w:bCs/>
          <w:sz w:val="36"/>
          <w:szCs w:val="36"/>
          <w:lang w:val="en-GB"/>
        </w:rPr>
        <w:t xml:space="preserve">Inquiry into </w:t>
      </w:r>
      <w:r w:rsidR="00A43812" w:rsidRPr="00A43812">
        <w:rPr>
          <w:b/>
          <w:bCs/>
          <w:sz w:val="36"/>
          <w:szCs w:val="36"/>
          <w:lang w:val="en-GB"/>
        </w:rPr>
        <w:t>Local Government Sustainability</w:t>
      </w:r>
    </w:p>
    <w:p w14:paraId="18D0225B" w14:textId="6A7163EB" w:rsidR="00A25C02" w:rsidRDefault="00A25C02" w:rsidP="00217E8A">
      <w:pPr>
        <w:pStyle w:val="Header"/>
        <w:rPr>
          <w:rStyle w:val="x193iq5w"/>
        </w:rPr>
      </w:pPr>
    </w:p>
    <w:p w14:paraId="192A2B20" w14:textId="77777777" w:rsidR="00A43812" w:rsidRPr="00A43812" w:rsidRDefault="00A43812" w:rsidP="00217E8A">
      <w:pPr>
        <w:pStyle w:val="Header"/>
        <w:rPr>
          <w:b/>
          <w:bCs/>
          <w:sz w:val="26"/>
          <w:szCs w:val="26"/>
          <w:lang w:val="en-GB"/>
        </w:rPr>
      </w:pPr>
      <w:r w:rsidRPr="00A43812">
        <w:rPr>
          <w:b/>
          <w:bCs/>
          <w:sz w:val="26"/>
          <w:szCs w:val="26"/>
          <w:lang w:val="en-GB"/>
        </w:rPr>
        <w:t>Executive Summary</w:t>
      </w:r>
    </w:p>
    <w:p w14:paraId="200301CF" w14:textId="77777777" w:rsidR="00A43812" w:rsidRDefault="00A43812" w:rsidP="00A43812">
      <w:pPr>
        <w:pStyle w:val="Header"/>
        <w:jc w:val="both"/>
        <w:rPr>
          <w:lang w:val="en-GB"/>
        </w:rPr>
      </w:pPr>
      <w:r w:rsidRPr="00A43812">
        <w:rPr>
          <w:lang w:val="en-GB"/>
        </w:rPr>
        <w:t xml:space="preserve">The Shire of Pingelly as an organisation is on a sustainable footing, however the provision of infrastructure and services is impacted by </w:t>
      </w:r>
      <w:r>
        <w:rPr>
          <w:lang w:val="en-GB"/>
        </w:rPr>
        <w:t xml:space="preserve">the following: </w:t>
      </w:r>
    </w:p>
    <w:p w14:paraId="32418EC3" w14:textId="77777777" w:rsidR="00AC67E4" w:rsidRDefault="00AC67E4" w:rsidP="00A43812">
      <w:pPr>
        <w:pStyle w:val="Header"/>
        <w:jc w:val="both"/>
        <w:rPr>
          <w:lang w:val="en-GB"/>
        </w:rPr>
      </w:pPr>
    </w:p>
    <w:p w14:paraId="03CFC9B9" w14:textId="68AED631" w:rsidR="00A43812" w:rsidRDefault="00A43812" w:rsidP="00A43812">
      <w:pPr>
        <w:pStyle w:val="Header"/>
        <w:numPr>
          <w:ilvl w:val="0"/>
          <w:numId w:val="1"/>
        </w:numPr>
        <w:jc w:val="both"/>
        <w:rPr>
          <w:lang w:val="en-GB"/>
        </w:rPr>
      </w:pPr>
      <w:r>
        <w:rPr>
          <w:lang w:val="en-GB"/>
        </w:rPr>
        <w:t>A</w:t>
      </w:r>
      <w:r w:rsidRPr="00A43812">
        <w:rPr>
          <w:lang w:val="en-GB"/>
        </w:rPr>
        <w:t xml:space="preserve"> lack of </w:t>
      </w:r>
      <w:r>
        <w:rPr>
          <w:lang w:val="en-GB"/>
        </w:rPr>
        <w:t xml:space="preserve">grant </w:t>
      </w:r>
      <w:r w:rsidRPr="00A43812">
        <w:rPr>
          <w:lang w:val="en-GB"/>
        </w:rPr>
        <w:t>funding, particularly untied funding</w:t>
      </w:r>
    </w:p>
    <w:p w14:paraId="646EE56C" w14:textId="0EAB3096" w:rsidR="00A43812" w:rsidRPr="00A43812" w:rsidRDefault="00A43812" w:rsidP="00A43812">
      <w:pPr>
        <w:pStyle w:val="Header"/>
        <w:numPr>
          <w:ilvl w:val="0"/>
          <w:numId w:val="1"/>
        </w:numPr>
        <w:jc w:val="both"/>
        <w:rPr>
          <w:lang w:val="en-GB"/>
        </w:rPr>
      </w:pPr>
      <w:r>
        <w:rPr>
          <w:lang w:val="en-GB"/>
        </w:rPr>
        <w:t xml:space="preserve">A lack of services provided to regional </w:t>
      </w:r>
      <w:r w:rsidR="00AC67E4">
        <w:rPr>
          <w:lang w:val="en-GB"/>
        </w:rPr>
        <w:t>areas</w:t>
      </w:r>
      <w:r>
        <w:rPr>
          <w:lang w:val="en-GB"/>
        </w:rPr>
        <w:t xml:space="preserve"> by the </w:t>
      </w:r>
      <w:r>
        <w:rPr>
          <w:lang w:val="en-GB"/>
        </w:rPr>
        <w:t>State and Commonwealth Governments</w:t>
      </w:r>
    </w:p>
    <w:p w14:paraId="2844FBD4" w14:textId="78CFD78A" w:rsidR="00384BA1" w:rsidRPr="00A43812" w:rsidRDefault="00A43812" w:rsidP="00A43812">
      <w:pPr>
        <w:pStyle w:val="Header"/>
        <w:numPr>
          <w:ilvl w:val="0"/>
          <w:numId w:val="1"/>
        </w:numPr>
        <w:jc w:val="both"/>
        <w:rPr>
          <w:lang w:val="en-GB"/>
        </w:rPr>
      </w:pPr>
      <w:r>
        <w:rPr>
          <w:lang w:val="en-GB"/>
        </w:rPr>
        <w:t>C</w:t>
      </w:r>
      <w:r w:rsidRPr="00A43812">
        <w:rPr>
          <w:lang w:val="en-GB"/>
        </w:rPr>
        <w:t xml:space="preserve">ost shifting </w:t>
      </w:r>
      <w:r>
        <w:rPr>
          <w:lang w:val="en-GB"/>
        </w:rPr>
        <w:t>from the State and Commonwealth Governments to Local Government</w:t>
      </w:r>
    </w:p>
    <w:p w14:paraId="7F61D948" w14:textId="39EDFAA3" w:rsidR="00A43812" w:rsidRPr="00A43812" w:rsidRDefault="00A43812" w:rsidP="00A43812">
      <w:pPr>
        <w:pStyle w:val="Header"/>
        <w:numPr>
          <w:ilvl w:val="0"/>
          <w:numId w:val="1"/>
        </w:numPr>
        <w:jc w:val="both"/>
        <w:rPr>
          <w:lang w:val="en-GB"/>
        </w:rPr>
      </w:pPr>
      <w:r>
        <w:rPr>
          <w:lang w:val="en-GB"/>
        </w:rPr>
        <w:t>Increasing c</w:t>
      </w:r>
      <w:r w:rsidRPr="00A43812">
        <w:rPr>
          <w:lang w:val="en-GB"/>
        </w:rPr>
        <w:t xml:space="preserve">ompliance </w:t>
      </w:r>
      <w:r w:rsidR="00AC67E4">
        <w:rPr>
          <w:lang w:val="en-GB"/>
        </w:rPr>
        <w:t xml:space="preserve">and legislative </w:t>
      </w:r>
      <w:r w:rsidRPr="00A43812">
        <w:rPr>
          <w:lang w:val="en-GB"/>
        </w:rPr>
        <w:t xml:space="preserve">requirements  </w:t>
      </w:r>
    </w:p>
    <w:p w14:paraId="43182462" w14:textId="77777777" w:rsidR="00A43812" w:rsidRDefault="00A43812" w:rsidP="00217E8A">
      <w:pPr>
        <w:pStyle w:val="Header"/>
        <w:rPr>
          <w:lang w:val="en-GB"/>
        </w:rPr>
      </w:pPr>
    </w:p>
    <w:p w14:paraId="7D9DB6DA" w14:textId="3CFCCC8B" w:rsidR="00A43812" w:rsidRPr="00A43812" w:rsidRDefault="00AC67E4" w:rsidP="00761890">
      <w:pPr>
        <w:pStyle w:val="Header"/>
        <w:jc w:val="both"/>
        <w:rPr>
          <w:lang w:val="en-GB"/>
        </w:rPr>
      </w:pPr>
      <w:r>
        <w:rPr>
          <w:lang w:val="en-GB"/>
        </w:rPr>
        <w:t>An examination of a</w:t>
      </w:r>
      <w:r w:rsidR="00A43812" w:rsidRPr="00A43812">
        <w:rPr>
          <w:lang w:val="en-GB"/>
        </w:rPr>
        <w:t>lternative models</w:t>
      </w:r>
      <w:r>
        <w:rPr>
          <w:lang w:val="en-GB"/>
        </w:rPr>
        <w:t xml:space="preserve"> demonstrates that the relative size of local governments does not impact the </w:t>
      </w:r>
      <w:r w:rsidRPr="00A43812">
        <w:rPr>
          <w:lang w:val="en-GB"/>
        </w:rPr>
        <w:t>provision of infrastructure and services</w:t>
      </w:r>
      <w:r>
        <w:rPr>
          <w:lang w:val="en-GB"/>
        </w:rPr>
        <w:t xml:space="preserve">. </w:t>
      </w:r>
    </w:p>
    <w:p w14:paraId="4AE0FF91" w14:textId="77777777" w:rsidR="00A43812" w:rsidRDefault="00A43812" w:rsidP="00217E8A">
      <w:pPr>
        <w:pStyle w:val="Header"/>
        <w:rPr>
          <w:b/>
          <w:bCs/>
          <w:sz w:val="26"/>
          <w:szCs w:val="26"/>
          <w:lang w:val="en-GB"/>
        </w:rPr>
      </w:pPr>
    </w:p>
    <w:p w14:paraId="2D08F086" w14:textId="4CADA69B" w:rsidR="00AC67E4" w:rsidRDefault="00AC67E4" w:rsidP="00217E8A">
      <w:pPr>
        <w:pStyle w:val="Header"/>
        <w:rPr>
          <w:b/>
          <w:bCs/>
          <w:sz w:val="26"/>
          <w:szCs w:val="26"/>
          <w:lang w:val="en-GB"/>
        </w:rPr>
      </w:pPr>
      <w:r>
        <w:rPr>
          <w:b/>
          <w:bCs/>
          <w:sz w:val="26"/>
          <w:szCs w:val="26"/>
          <w:lang w:val="en-GB"/>
        </w:rPr>
        <w:t>Lack of Grant Funding</w:t>
      </w:r>
    </w:p>
    <w:p w14:paraId="14C31534" w14:textId="77E6AF24" w:rsidR="00AC67E4" w:rsidRDefault="00AC67E4" w:rsidP="00AC67E4">
      <w:pPr>
        <w:pStyle w:val="Header"/>
        <w:jc w:val="both"/>
        <w:rPr>
          <w:lang w:val="en-GB"/>
        </w:rPr>
      </w:pPr>
      <w:r>
        <w:rPr>
          <w:lang w:val="en-GB"/>
        </w:rPr>
        <w:t xml:space="preserve">The Shire of Pingelly </w:t>
      </w:r>
      <w:r w:rsidR="00D177CE">
        <w:rPr>
          <w:lang w:val="en-GB"/>
        </w:rPr>
        <w:t xml:space="preserve">(SoP) </w:t>
      </w:r>
      <w:r>
        <w:rPr>
          <w:lang w:val="en-GB"/>
        </w:rPr>
        <w:t>recently concluded its comprehensive Asset Management Plan</w:t>
      </w:r>
      <w:r w:rsidR="000B5268">
        <w:rPr>
          <w:lang w:val="en-GB"/>
        </w:rPr>
        <w:t xml:space="preserve"> 2024-2044.  This Shire of Pingelly is responsible for:</w:t>
      </w:r>
    </w:p>
    <w:p w14:paraId="7651D143" w14:textId="77777777" w:rsidR="000B5268" w:rsidRDefault="000B5268" w:rsidP="00AC67E4">
      <w:pPr>
        <w:pStyle w:val="Header"/>
        <w:jc w:val="both"/>
        <w:rPr>
          <w:lang w:val="en-GB"/>
        </w:rPr>
      </w:pPr>
    </w:p>
    <w:p w14:paraId="1FC74C70" w14:textId="7ADAED61" w:rsidR="000B5268" w:rsidRDefault="000B5268" w:rsidP="000B5268">
      <w:pPr>
        <w:pStyle w:val="Header"/>
        <w:numPr>
          <w:ilvl w:val="0"/>
          <w:numId w:val="4"/>
        </w:numPr>
        <w:jc w:val="both"/>
        <w:rPr>
          <w:lang w:val="en-GB"/>
        </w:rPr>
      </w:pPr>
      <w:r>
        <w:rPr>
          <w:lang w:val="en-GB"/>
        </w:rPr>
        <w:t>54 buildings and 1 ‘other’ structure. These assets have a replacement value of $27.8 million.</w:t>
      </w:r>
    </w:p>
    <w:p w14:paraId="1590F238" w14:textId="473472E8" w:rsidR="000B5268" w:rsidRPr="000B5268" w:rsidRDefault="000B5268" w:rsidP="000B5268">
      <w:pPr>
        <w:pStyle w:val="Header"/>
        <w:numPr>
          <w:ilvl w:val="0"/>
          <w:numId w:val="4"/>
        </w:numPr>
        <w:jc w:val="both"/>
        <w:rPr>
          <w:lang w:val="en-GB"/>
        </w:rPr>
      </w:pPr>
      <w:r w:rsidRPr="000B5268">
        <w:rPr>
          <w:lang w:val="en-GB"/>
        </w:rPr>
        <w:t>4,365,387m² of road pavement</w:t>
      </w:r>
      <w:r w:rsidRPr="000B5268">
        <w:rPr>
          <w:lang w:val="en-GB"/>
        </w:rPr>
        <w:t xml:space="preserve">, </w:t>
      </w:r>
      <w:r w:rsidRPr="000B5268">
        <w:rPr>
          <w:lang w:val="en-GB"/>
        </w:rPr>
        <w:t>5,406,187m² of road subgrade</w:t>
      </w:r>
      <w:r w:rsidRPr="000B5268">
        <w:rPr>
          <w:lang w:val="en-GB"/>
        </w:rPr>
        <w:t xml:space="preserve">, and </w:t>
      </w:r>
      <w:r w:rsidRPr="000B5268">
        <w:rPr>
          <w:lang w:val="en-GB"/>
        </w:rPr>
        <w:t>1,275,543m² of road surface.</w:t>
      </w:r>
      <w:r>
        <w:rPr>
          <w:lang w:val="en-GB"/>
        </w:rPr>
        <w:t xml:space="preserve"> These </w:t>
      </w:r>
      <w:r>
        <w:rPr>
          <w:lang w:val="en-GB"/>
        </w:rPr>
        <w:t>assets have a replacement value of $</w:t>
      </w:r>
      <w:r>
        <w:rPr>
          <w:lang w:val="en-GB"/>
        </w:rPr>
        <w:t>97</w:t>
      </w:r>
      <w:r>
        <w:rPr>
          <w:lang w:val="en-GB"/>
        </w:rPr>
        <w:t>.</w:t>
      </w:r>
      <w:r>
        <w:rPr>
          <w:lang w:val="en-GB"/>
        </w:rPr>
        <w:t>7</w:t>
      </w:r>
      <w:r>
        <w:rPr>
          <w:lang w:val="en-GB"/>
        </w:rPr>
        <w:t xml:space="preserve"> million</w:t>
      </w:r>
      <w:r>
        <w:rPr>
          <w:lang w:val="en-GB"/>
        </w:rPr>
        <w:t>.</w:t>
      </w:r>
    </w:p>
    <w:p w14:paraId="47727B9D" w14:textId="0230A28D" w:rsidR="000B5268" w:rsidRPr="000B5268" w:rsidRDefault="000B5268" w:rsidP="000B5268">
      <w:pPr>
        <w:pStyle w:val="Header"/>
        <w:numPr>
          <w:ilvl w:val="0"/>
          <w:numId w:val="4"/>
        </w:numPr>
        <w:jc w:val="both"/>
        <w:rPr>
          <w:lang w:val="en-GB"/>
        </w:rPr>
      </w:pPr>
      <w:r w:rsidRPr="000B5268">
        <w:rPr>
          <w:lang w:val="en-GB"/>
        </w:rPr>
        <w:t>2,</w:t>
      </w:r>
      <w:r w:rsidRPr="000B5268">
        <w:rPr>
          <w:lang w:val="en-GB"/>
        </w:rPr>
        <w:t>964m² of reinforced concrete footpaths, 16,979m² of insitu concrete footpaths, 2,913m² of brick paving footpaths, 2,422m² of red asphalt footpaths, 64m² of black asphalt footpaths, 1,763m² of concrete paving footpaths, and 97m² of gravel footpaths</w:t>
      </w:r>
      <w:r>
        <w:rPr>
          <w:lang w:val="en-GB"/>
        </w:rPr>
        <w:t xml:space="preserve">. </w:t>
      </w:r>
      <w:r>
        <w:rPr>
          <w:lang w:val="en-GB"/>
        </w:rPr>
        <w:t>These assets have a replacement value of $</w:t>
      </w:r>
      <w:r>
        <w:rPr>
          <w:lang w:val="en-GB"/>
        </w:rPr>
        <w:t>2.2</w:t>
      </w:r>
      <w:r>
        <w:rPr>
          <w:lang w:val="en-GB"/>
        </w:rPr>
        <w:t xml:space="preserve"> million</w:t>
      </w:r>
      <w:r>
        <w:rPr>
          <w:lang w:val="en-GB"/>
        </w:rPr>
        <w:t>.</w:t>
      </w:r>
    </w:p>
    <w:p w14:paraId="77FDFC07" w14:textId="77777777" w:rsidR="000B5268" w:rsidRDefault="000B5268" w:rsidP="000B5268">
      <w:pPr>
        <w:pStyle w:val="Header"/>
        <w:jc w:val="both"/>
        <w:rPr>
          <w:lang w:val="en-GB"/>
        </w:rPr>
      </w:pPr>
    </w:p>
    <w:p w14:paraId="79F27F01" w14:textId="13E7BCDE" w:rsidR="000B5268" w:rsidRDefault="000B5268" w:rsidP="000B5268">
      <w:pPr>
        <w:pStyle w:val="Header"/>
        <w:jc w:val="both"/>
      </w:pPr>
      <w:r>
        <w:t>The</w:t>
      </w:r>
      <w:r>
        <w:rPr>
          <w:spacing w:val="-4"/>
        </w:rPr>
        <w:t xml:space="preserve"> </w:t>
      </w:r>
      <w:r>
        <w:t>forecast</w:t>
      </w:r>
      <w:r>
        <w:rPr>
          <w:spacing w:val="-3"/>
        </w:rPr>
        <w:t xml:space="preserve"> </w:t>
      </w:r>
      <w:r>
        <w:t>lifecycle</w:t>
      </w:r>
      <w:r>
        <w:rPr>
          <w:spacing w:val="-5"/>
        </w:rPr>
        <w:t xml:space="preserve"> </w:t>
      </w:r>
      <w:r>
        <w:t>costs</w:t>
      </w:r>
      <w:r>
        <w:rPr>
          <w:spacing w:val="-2"/>
        </w:rPr>
        <w:t xml:space="preserve"> </w:t>
      </w:r>
      <w:r>
        <w:t>necessary</w:t>
      </w:r>
      <w:r>
        <w:rPr>
          <w:spacing w:val="-3"/>
        </w:rPr>
        <w:t xml:space="preserve"> </w:t>
      </w:r>
      <w:r>
        <w:t>to</w:t>
      </w:r>
      <w:r>
        <w:rPr>
          <w:spacing w:val="-3"/>
        </w:rPr>
        <w:t xml:space="preserve"> </w:t>
      </w:r>
      <w:r>
        <w:t>maintain these assets in their current condition are:</w:t>
      </w:r>
    </w:p>
    <w:p w14:paraId="4B10B1BE" w14:textId="77777777" w:rsidR="000B5268" w:rsidRPr="000B5268" w:rsidRDefault="000B5268" w:rsidP="000B5268">
      <w:pPr>
        <w:pStyle w:val="Header"/>
        <w:jc w:val="both"/>
      </w:pPr>
    </w:p>
    <w:p w14:paraId="1212B32B" w14:textId="38C9BA13" w:rsidR="000B5268" w:rsidRPr="000B5268" w:rsidRDefault="000B5268" w:rsidP="008D36A3">
      <w:pPr>
        <w:pStyle w:val="BodyText"/>
        <w:numPr>
          <w:ilvl w:val="0"/>
          <w:numId w:val="3"/>
        </w:numPr>
        <w:tabs>
          <w:tab w:val="left" w:pos="709"/>
        </w:tabs>
        <w:ind w:right="22"/>
        <w:jc w:val="both"/>
        <w:rPr>
          <w:rFonts w:asciiTheme="minorHAnsi" w:hAnsiTheme="minorHAnsi"/>
          <w:sz w:val="22"/>
          <w:szCs w:val="22"/>
        </w:rPr>
      </w:pPr>
      <w:r w:rsidRPr="000B5268">
        <w:rPr>
          <w:rFonts w:asciiTheme="minorHAnsi" w:hAnsiTheme="minorHAnsi"/>
          <w:b/>
          <w:bCs/>
          <w:sz w:val="22"/>
          <w:szCs w:val="22"/>
        </w:rPr>
        <w:t>Building</w:t>
      </w:r>
      <w:r w:rsidRPr="000B5268">
        <w:rPr>
          <w:rFonts w:asciiTheme="minorHAnsi" w:hAnsiTheme="minorHAnsi"/>
          <w:sz w:val="22"/>
          <w:szCs w:val="22"/>
        </w:rPr>
        <w:t xml:space="preserve"> assets over the 20-year </w:t>
      </w:r>
      <w:r w:rsidR="00CB020B">
        <w:rPr>
          <w:rFonts w:asciiTheme="minorHAnsi" w:hAnsiTheme="minorHAnsi"/>
          <w:sz w:val="22"/>
          <w:szCs w:val="22"/>
        </w:rPr>
        <w:t>outlays</w:t>
      </w:r>
      <w:r w:rsidRPr="000B5268">
        <w:rPr>
          <w:rFonts w:asciiTheme="minorHAnsi" w:hAnsiTheme="minorHAnsi"/>
          <w:sz w:val="22"/>
          <w:szCs w:val="22"/>
        </w:rPr>
        <w:t xml:space="preserve"> is </w:t>
      </w:r>
      <w:bookmarkStart w:id="0" w:name="_Hlk168048525"/>
      <w:r w:rsidRPr="000B5268">
        <w:rPr>
          <w:rFonts w:asciiTheme="minorHAnsi" w:hAnsiTheme="minorHAnsi"/>
          <w:sz w:val="22"/>
          <w:szCs w:val="22"/>
        </w:rPr>
        <w:t>$67,114 on average per year.</w:t>
      </w:r>
      <w:bookmarkEnd w:id="0"/>
    </w:p>
    <w:p w14:paraId="72702773" w14:textId="43CB2D79" w:rsidR="000B5268" w:rsidRPr="000B5268" w:rsidRDefault="000B5268" w:rsidP="000B5268">
      <w:pPr>
        <w:pStyle w:val="AMPParagraphnormal"/>
        <w:numPr>
          <w:ilvl w:val="0"/>
          <w:numId w:val="3"/>
        </w:numPr>
        <w:spacing w:after="0"/>
        <w:ind w:right="22"/>
        <w:rPr>
          <w:rFonts w:asciiTheme="minorHAnsi" w:hAnsiTheme="minorHAnsi"/>
          <w:sz w:val="22"/>
          <w:szCs w:val="22"/>
        </w:rPr>
      </w:pPr>
      <w:r w:rsidRPr="000B5268">
        <w:rPr>
          <w:rFonts w:asciiTheme="minorHAnsi" w:hAnsiTheme="minorHAnsi"/>
          <w:b/>
          <w:bCs/>
          <w:sz w:val="22"/>
          <w:szCs w:val="22"/>
        </w:rPr>
        <w:t xml:space="preserve">Road </w:t>
      </w:r>
      <w:r w:rsidRPr="000B5268">
        <w:rPr>
          <w:rFonts w:asciiTheme="minorHAnsi" w:hAnsiTheme="minorHAnsi"/>
          <w:sz w:val="22"/>
          <w:szCs w:val="22"/>
        </w:rPr>
        <w:t xml:space="preserve">assets </w:t>
      </w:r>
      <w:r w:rsidRPr="000B5268">
        <w:rPr>
          <w:rFonts w:asciiTheme="minorHAnsi" w:hAnsiTheme="minorHAnsi"/>
          <w:sz w:val="22"/>
          <w:szCs w:val="22"/>
          <w:lang w:val="en-AU"/>
        </w:rPr>
        <w:t xml:space="preserve">over 10 year total outlays </w:t>
      </w:r>
      <w:r>
        <w:rPr>
          <w:rFonts w:asciiTheme="minorHAnsi" w:hAnsiTheme="minorHAnsi"/>
          <w:sz w:val="22"/>
          <w:szCs w:val="22"/>
          <w:lang w:val="en-AU"/>
        </w:rPr>
        <w:t>is</w:t>
      </w:r>
      <w:r w:rsidRPr="000B5268">
        <w:rPr>
          <w:rFonts w:asciiTheme="minorHAnsi" w:hAnsiTheme="minorHAnsi"/>
          <w:sz w:val="22"/>
          <w:szCs w:val="22"/>
        </w:rPr>
        <w:t xml:space="preserve"> </w:t>
      </w:r>
      <w:r w:rsidRPr="000B5268">
        <w:rPr>
          <w:rFonts w:asciiTheme="minorHAnsi" w:hAnsiTheme="minorHAnsi"/>
          <w:sz w:val="22"/>
          <w:szCs w:val="22"/>
          <w:lang w:val="en-AU"/>
        </w:rPr>
        <w:t>$</w:t>
      </w:r>
      <w:r w:rsidRPr="000B5268">
        <w:rPr>
          <w:rFonts w:asciiTheme="minorHAnsi" w:hAnsiTheme="minorHAnsi"/>
          <w:sz w:val="22"/>
          <w:szCs w:val="22"/>
          <w:lang w:val="en-US"/>
        </w:rPr>
        <w:t>3,494,550</w:t>
      </w:r>
      <w:r w:rsidRPr="000B5268">
        <w:rPr>
          <w:rFonts w:asciiTheme="minorHAnsi" w:hAnsiTheme="minorHAnsi"/>
          <w:sz w:val="22"/>
          <w:szCs w:val="22"/>
        </w:rPr>
        <w:t xml:space="preserve"> on average per year.  </w:t>
      </w:r>
    </w:p>
    <w:p w14:paraId="53A654C5" w14:textId="7B54ACE9" w:rsidR="000B5268" w:rsidRPr="000B5268" w:rsidRDefault="000B5268" w:rsidP="000B5268">
      <w:pPr>
        <w:pStyle w:val="AMPParagraphnormal"/>
        <w:numPr>
          <w:ilvl w:val="0"/>
          <w:numId w:val="3"/>
        </w:numPr>
        <w:ind w:right="22"/>
        <w:rPr>
          <w:rFonts w:asciiTheme="minorHAnsi" w:hAnsiTheme="minorHAnsi"/>
          <w:sz w:val="22"/>
          <w:szCs w:val="22"/>
        </w:rPr>
      </w:pPr>
      <w:r w:rsidRPr="000B5268">
        <w:rPr>
          <w:rFonts w:asciiTheme="minorHAnsi" w:hAnsiTheme="minorHAnsi"/>
          <w:b/>
          <w:bCs/>
          <w:sz w:val="22"/>
          <w:szCs w:val="22"/>
        </w:rPr>
        <w:t xml:space="preserve">Footpath </w:t>
      </w:r>
      <w:r w:rsidRPr="000B5268">
        <w:rPr>
          <w:rFonts w:asciiTheme="minorHAnsi" w:hAnsiTheme="minorHAnsi"/>
          <w:sz w:val="22"/>
          <w:szCs w:val="22"/>
        </w:rPr>
        <w:t xml:space="preserve">assets </w:t>
      </w:r>
      <w:r w:rsidRPr="000B5268">
        <w:rPr>
          <w:rFonts w:asciiTheme="minorHAnsi" w:hAnsiTheme="minorHAnsi"/>
          <w:sz w:val="22"/>
          <w:szCs w:val="22"/>
          <w:lang w:val="en-AU"/>
        </w:rPr>
        <w:t>10 year total outlays</w:t>
      </w:r>
      <w:r>
        <w:rPr>
          <w:rFonts w:asciiTheme="minorHAnsi" w:hAnsiTheme="minorHAnsi"/>
          <w:sz w:val="22"/>
          <w:szCs w:val="22"/>
          <w:lang w:val="en-AU"/>
        </w:rPr>
        <w:t xml:space="preserve"> is</w:t>
      </w:r>
      <w:r w:rsidRPr="000B5268">
        <w:rPr>
          <w:rFonts w:asciiTheme="minorHAnsi" w:hAnsiTheme="minorHAnsi"/>
          <w:sz w:val="22"/>
          <w:szCs w:val="22"/>
        </w:rPr>
        <w:t xml:space="preserve"> </w:t>
      </w:r>
      <w:r w:rsidRPr="000B5268">
        <w:rPr>
          <w:rFonts w:asciiTheme="minorHAnsi" w:hAnsiTheme="minorHAnsi"/>
          <w:sz w:val="22"/>
          <w:szCs w:val="22"/>
          <w:lang w:val="en-AU"/>
        </w:rPr>
        <w:t>$</w:t>
      </w:r>
      <w:r w:rsidRPr="000B5268">
        <w:rPr>
          <w:rFonts w:asciiTheme="minorHAnsi" w:hAnsiTheme="minorHAnsi"/>
          <w:sz w:val="22"/>
          <w:szCs w:val="22"/>
          <w:lang w:val="en-US"/>
        </w:rPr>
        <w:t>29,192</w:t>
      </w:r>
      <w:r w:rsidRPr="000B5268">
        <w:rPr>
          <w:rFonts w:asciiTheme="minorHAnsi" w:hAnsiTheme="minorHAnsi"/>
          <w:sz w:val="22"/>
          <w:szCs w:val="22"/>
        </w:rPr>
        <w:t xml:space="preserve"> on average per year.  </w:t>
      </w:r>
    </w:p>
    <w:p w14:paraId="57D418D2" w14:textId="77777777" w:rsidR="007E6EF7" w:rsidRDefault="00CB020B" w:rsidP="000B5268">
      <w:pPr>
        <w:pStyle w:val="Header"/>
        <w:jc w:val="both"/>
      </w:pPr>
      <w:r>
        <w:rPr>
          <w:lang w:val="en-GB"/>
        </w:rPr>
        <w:t xml:space="preserve">The total asset replacement cost is </w:t>
      </w:r>
      <w:r w:rsidRPr="000B5268">
        <w:t>$</w:t>
      </w:r>
      <w:r>
        <w:t>3,590,856</w:t>
      </w:r>
      <w:r w:rsidRPr="000B5268">
        <w:t xml:space="preserve"> on average per year.</w:t>
      </w:r>
      <w:r>
        <w:t xml:space="preserve"> This does not include replacement of other assets such as playgrounds etc. This average will increase year on year with increasing costs. </w:t>
      </w:r>
    </w:p>
    <w:p w14:paraId="7C2B64CB" w14:textId="77777777" w:rsidR="00AB6A1E" w:rsidRDefault="00AB6A1E" w:rsidP="000B5268">
      <w:pPr>
        <w:pStyle w:val="Header"/>
        <w:jc w:val="both"/>
      </w:pPr>
    </w:p>
    <w:p w14:paraId="30D0CD74" w14:textId="77A2E2C5" w:rsidR="007E6EF7" w:rsidRDefault="00CB020B" w:rsidP="00D84A62">
      <w:pPr>
        <w:pStyle w:val="Header"/>
        <w:jc w:val="both"/>
      </w:pPr>
      <w:r>
        <w:t xml:space="preserve">The </w:t>
      </w:r>
      <w:r w:rsidR="007E6EF7">
        <w:t xml:space="preserve">recurrent grant funding </w:t>
      </w:r>
      <w:r w:rsidR="00D177CE">
        <w:t xml:space="preserve">(from both State and Commonwealth Governments) </w:t>
      </w:r>
      <w:r w:rsidR="007E6EF7">
        <w:t xml:space="preserve">to replace these assets is </w:t>
      </w:r>
      <w:r w:rsidR="007E6EF7">
        <w:t>$828,972</w:t>
      </w:r>
      <w:r w:rsidR="00D177CE">
        <w:t xml:space="preserve"> per year</w:t>
      </w:r>
      <w:r w:rsidR="007E6EF7">
        <w:t xml:space="preserve">. </w:t>
      </w:r>
      <w:r w:rsidR="00AB6A1E">
        <w:t xml:space="preserve">The </w:t>
      </w:r>
      <w:r w:rsidR="00AB6A1E">
        <w:t>Local Roads and Community Infrastructure</w:t>
      </w:r>
      <w:r w:rsidR="00AB6A1E">
        <w:t xml:space="preserve"> (now discontinued) increased this figure to </w:t>
      </w:r>
      <w:r w:rsidR="00AB6A1E">
        <w:t>$</w:t>
      </w:r>
      <w:r w:rsidR="00D84A62">
        <w:t>890,016</w:t>
      </w:r>
      <w:r w:rsidR="00D84A62">
        <w:t xml:space="preserve"> for 2023/2024</w:t>
      </w:r>
      <w:r w:rsidR="00AB6A1E">
        <w:t>.</w:t>
      </w:r>
      <w:r w:rsidR="007E6EF7">
        <w:t xml:space="preserve"> </w:t>
      </w:r>
      <w:r w:rsidR="008D36A3">
        <w:t xml:space="preserve">This equates to 24% of the funding required to replace these assets and </w:t>
      </w:r>
      <w:r w:rsidR="00D177CE">
        <w:t>leaves a remaining cost of $2,</w:t>
      </w:r>
      <w:r w:rsidR="00D84A62">
        <w:t>700,</w:t>
      </w:r>
      <w:r w:rsidR="008D36A3">
        <w:t>839</w:t>
      </w:r>
      <w:r w:rsidR="00AB6A1E">
        <w:t xml:space="preserve"> (7</w:t>
      </w:r>
      <w:r w:rsidR="008D36A3">
        <w:t>6</w:t>
      </w:r>
      <w:r w:rsidR="00AB6A1E">
        <w:t>%)</w:t>
      </w:r>
      <w:r w:rsidR="00D177CE">
        <w:t>.</w:t>
      </w:r>
      <w:r w:rsidR="00AB6A1E">
        <w:t xml:space="preserve"> The </w:t>
      </w:r>
      <w:r w:rsidR="00D84A62">
        <w:t xml:space="preserve">Shire’s annual rate income was $2,363,584 in 2022/2023. </w:t>
      </w:r>
    </w:p>
    <w:p w14:paraId="41B2F163" w14:textId="77777777" w:rsidR="00D84A62" w:rsidRDefault="00D84A62" w:rsidP="00D84A62">
      <w:pPr>
        <w:pStyle w:val="Header"/>
        <w:jc w:val="both"/>
      </w:pPr>
    </w:p>
    <w:p w14:paraId="7E886694" w14:textId="77777777" w:rsidR="00457A1C" w:rsidRDefault="00457A1C" w:rsidP="000B5268">
      <w:pPr>
        <w:pStyle w:val="Header"/>
        <w:jc w:val="both"/>
      </w:pPr>
    </w:p>
    <w:p w14:paraId="0C40FFE9" w14:textId="77777777" w:rsidR="00AB6A1E" w:rsidRDefault="00AB6A1E" w:rsidP="000B5268">
      <w:pPr>
        <w:pStyle w:val="Header"/>
        <w:jc w:val="both"/>
      </w:pPr>
    </w:p>
    <w:p w14:paraId="6ABB014F" w14:textId="77777777" w:rsidR="00AB6A1E" w:rsidRDefault="00AB6A1E" w:rsidP="000B5268">
      <w:pPr>
        <w:pStyle w:val="Header"/>
        <w:jc w:val="both"/>
      </w:pPr>
    </w:p>
    <w:p w14:paraId="3BC6D668" w14:textId="77777777" w:rsidR="00AB6A1E" w:rsidRDefault="00AB6A1E" w:rsidP="000B5268">
      <w:pPr>
        <w:pStyle w:val="Header"/>
        <w:jc w:val="both"/>
      </w:pPr>
    </w:p>
    <w:p w14:paraId="0EB0A53C" w14:textId="77777777" w:rsidR="00AB6A1E" w:rsidRDefault="00AB6A1E" w:rsidP="000B5268">
      <w:pPr>
        <w:pStyle w:val="Header"/>
        <w:jc w:val="both"/>
      </w:pPr>
    </w:p>
    <w:p w14:paraId="38FD5AE0" w14:textId="77777777" w:rsidR="00AB6A1E" w:rsidRDefault="00AB6A1E" w:rsidP="000B5268">
      <w:pPr>
        <w:pStyle w:val="Header"/>
        <w:jc w:val="both"/>
      </w:pPr>
    </w:p>
    <w:p w14:paraId="502E8D45" w14:textId="77777777" w:rsidR="00AB6A1E" w:rsidRDefault="00AB6A1E" w:rsidP="000B5268">
      <w:pPr>
        <w:pStyle w:val="Header"/>
        <w:jc w:val="both"/>
      </w:pPr>
    </w:p>
    <w:p w14:paraId="6C755784" w14:textId="77777777" w:rsidR="00AB6A1E" w:rsidRDefault="00AB6A1E" w:rsidP="000B5268">
      <w:pPr>
        <w:pStyle w:val="Header"/>
        <w:jc w:val="both"/>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74"/>
        <w:gridCol w:w="1701"/>
        <w:gridCol w:w="1439"/>
      </w:tblGrid>
      <w:tr w:rsidR="00AB6A1E" w:rsidRPr="00BC7002" w14:paraId="3E57FBA0" w14:textId="77777777" w:rsidTr="00D07AC5">
        <w:tc>
          <w:tcPr>
            <w:tcW w:w="9514" w:type="dxa"/>
            <w:gridSpan w:val="3"/>
          </w:tcPr>
          <w:p w14:paraId="0C79F927" w14:textId="0B4C5546" w:rsidR="00AB6A1E" w:rsidRPr="00091AE1" w:rsidRDefault="00AB6A1E" w:rsidP="00AB6A1E">
            <w:pPr>
              <w:pStyle w:val="Header"/>
              <w:jc w:val="center"/>
              <w:rPr>
                <w:rFonts w:asciiTheme="minorHAnsi" w:hAnsiTheme="minorHAnsi"/>
                <w:b/>
                <w:bCs/>
                <w:sz w:val="22"/>
                <w:szCs w:val="22"/>
              </w:rPr>
            </w:pPr>
            <w:r w:rsidRPr="00091AE1">
              <w:rPr>
                <w:rFonts w:asciiTheme="minorHAnsi" w:hAnsiTheme="minorHAnsi"/>
                <w:b/>
                <w:bCs/>
                <w:sz w:val="22"/>
                <w:szCs w:val="22"/>
              </w:rPr>
              <w:t>State and Commonwealth Government</w:t>
            </w:r>
            <w:r w:rsidRPr="00091AE1">
              <w:rPr>
                <w:rFonts w:asciiTheme="minorHAnsi" w:hAnsiTheme="minorHAnsi"/>
                <w:b/>
                <w:bCs/>
                <w:sz w:val="22"/>
                <w:szCs w:val="22"/>
              </w:rPr>
              <w:t xml:space="preserve"> Asset Replacement Grants</w:t>
            </w:r>
          </w:p>
        </w:tc>
      </w:tr>
      <w:tr w:rsidR="007E6EF7" w:rsidRPr="00BC7002" w14:paraId="61FD6578" w14:textId="4EDBBA37" w:rsidTr="00D07AC5">
        <w:tc>
          <w:tcPr>
            <w:tcW w:w="9514" w:type="dxa"/>
            <w:gridSpan w:val="3"/>
          </w:tcPr>
          <w:p w14:paraId="5E83A925" w14:textId="202DD1DE" w:rsidR="007E6EF7" w:rsidRPr="00BC7002" w:rsidRDefault="007E6EF7" w:rsidP="000B5268">
            <w:pPr>
              <w:pStyle w:val="Header"/>
              <w:jc w:val="both"/>
              <w:rPr>
                <w:rFonts w:asciiTheme="minorHAnsi" w:hAnsiTheme="minorHAnsi"/>
                <w:sz w:val="22"/>
                <w:szCs w:val="22"/>
              </w:rPr>
            </w:pPr>
            <w:r w:rsidRPr="00BC7002">
              <w:rPr>
                <w:rFonts w:asciiTheme="minorHAnsi" w:hAnsiTheme="minorHAnsi"/>
                <w:sz w:val="22"/>
                <w:szCs w:val="22"/>
              </w:rPr>
              <w:t>Annual Grants</w:t>
            </w:r>
          </w:p>
        </w:tc>
      </w:tr>
      <w:tr w:rsidR="007E6EF7" w:rsidRPr="00BC7002" w14:paraId="3EA721A3" w14:textId="7BFCD01F" w:rsidTr="007E6EF7">
        <w:tc>
          <w:tcPr>
            <w:tcW w:w="6374" w:type="dxa"/>
          </w:tcPr>
          <w:p w14:paraId="38A4D7ED" w14:textId="03349ABC" w:rsidR="007E6EF7" w:rsidRPr="00BC7002" w:rsidRDefault="007E6EF7" w:rsidP="007E6EF7">
            <w:pPr>
              <w:pStyle w:val="Header"/>
              <w:numPr>
                <w:ilvl w:val="0"/>
                <w:numId w:val="5"/>
              </w:numPr>
              <w:ind w:left="596"/>
              <w:jc w:val="both"/>
              <w:rPr>
                <w:rFonts w:asciiTheme="minorHAnsi" w:hAnsiTheme="minorHAnsi"/>
                <w:sz w:val="22"/>
                <w:szCs w:val="22"/>
              </w:rPr>
            </w:pPr>
            <w:r w:rsidRPr="00BC7002">
              <w:rPr>
                <w:rFonts w:asciiTheme="minorHAnsi" w:hAnsiTheme="minorHAnsi"/>
                <w:sz w:val="22"/>
                <w:szCs w:val="22"/>
              </w:rPr>
              <w:t>Financial Assistance Grant (Local Roads)</w:t>
            </w:r>
          </w:p>
        </w:tc>
        <w:tc>
          <w:tcPr>
            <w:tcW w:w="1701" w:type="dxa"/>
          </w:tcPr>
          <w:p w14:paraId="26FC787D" w14:textId="78DEF0CC" w:rsidR="007E6EF7" w:rsidRPr="00BC7002" w:rsidRDefault="007E6EF7" w:rsidP="00F429DA">
            <w:pPr>
              <w:pStyle w:val="Header"/>
              <w:jc w:val="right"/>
              <w:rPr>
                <w:rFonts w:asciiTheme="minorHAnsi" w:hAnsiTheme="minorHAnsi"/>
                <w:sz w:val="22"/>
                <w:szCs w:val="22"/>
              </w:rPr>
            </w:pPr>
            <w:r w:rsidRPr="00BC7002">
              <w:rPr>
                <w:rFonts w:asciiTheme="minorHAnsi" w:hAnsiTheme="minorHAnsi"/>
                <w:sz w:val="22"/>
                <w:szCs w:val="22"/>
              </w:rPr>
              <w:t>$11</w:t>
            </w:r>
            <w:r w:rsidR="00AB6A1E" w:rsidRPr="00BC7002">
              <w:rPr>
                <w:rFonts w:asciiTheme="minorHAnsi" w:hAnsiTheme="minorHAnsi"/>
                <w:sz w:val="22"/>
                <w:szCs w:val="22"/>
              </w:rPr>
              <w:t>9,144</w:t>
            </w:r>
          </w:p>
        </w:tc>
        <w:tc>
          <w:tcPr>
            <w:tcW w:w="1439" w:type="dxa"/>
          </w:tcPr>
          <w:p w14:paraId="2CC933BE" w14:textId="77777777" w:rsidR="007E6EF7" w:rsidRPr="00BC7002" w:rsidRDefault="007E6EF7" w:rsidP="000B5268">
            <w:pPr>
              <w:pStyle w:val="Header"/>
              <w:jc w:val="both"/>
              <w:rPr>
                <w:rFonts w:asciiTheme="minorHAnsi" w:hAnsiTheme="minorHAnsi"/>
                <w:sz w:val="22"/>
                <w:szCs w:val="22"/>
              </w:rPr>
            </w:pPr>
          </w:p>
        </w:tc>
      </w:tr>
      <w:tr w:rsidR="007E6EF7" w:rsidRPr="00BC7002" w14:paraId="77568E6B" w14:textId="3DD2CAE1" w:rsidTr="007E6EF7">
        <w:tc>
          <w:tcPr>
            <w:tcW w:w="6374" w:type="dxa"/>
          </w:tcPr>
          <w:p w14:paraId="2CC235F8" w14:textId="3F9F2083" w:rsidR="007E6EF7" w:rsidRPr="00BC7002" w:rsidRDefault="007E6EF7" w:rsidP="007E6EF7">
            <w:pPr>
              <w:pStyle w:val="Header"/>
              <w:numPr>
                <w:ilvl w:val="0"/>
                <w:numId w:val="5"/>
              </w:numPr>
              <w:ind w:left="596"/>
              <w:jc w:val="both"/>
              <w:rPr>
                <w:rFonts w:asciiTheme="minorHAnsi" w:hAnsiTheme="minorHAnsi"/>
                <w:sz w:val="22"/>
                <w:szCs w:val="22"/>
              </w:rPr>
            </w:pPr>
            <w:r w:rsidRPr="00BC7002">
              <w:rPr>
                <w:rFonts w:asciiTheme="minorHAnsi" w:hAnsiTheme="minorHAnsi"/>
                <w:sz w:val="22"/>
                <w:szCs w:val="22"/>
              </w:rPr>
              <w:t xml:space="preserve">Regional Road Group </w:t>
            </w:r>
          </w:p>
        </w:tc>
        <w:tc>
          <w:tcPr>
            <w:tcW w:w="1701" w:type="dxa"/>
          </w:tcPr>
          <w:p w14:paraId="319D3712" w14:textId="017CA969" w:rsidR="007E6EF7" w:rsidRPr="00BC7002" w:rsidRDefault="007E6EF7" w:rsidP="00F429DA">
            <w:pPr>
              <w:pStyle w:val="Header"/>
              <w:jc w:val="right"/>
              <w:rPr>
                <w:rFonts w:asciiTheme="minorHAnsi" w:hAnsiTheme="minorHAnsi"/>
                <w:sz w:val="22"/>
                <w:szCs w:val="22"/>
              </w:rPr>
            </w:pPr>
            <w:r w:rsidRPr="00BC7002">
              <w:rPr>
                <w:rFonts w:asciiTheme="minorHAnsi" w:hAnsiTheme="minorHAnsi"/>
                <w:sz w:val="22"/>
                <w:szCs w:val="22"/>
              </w:rPr>
              <w:t>$</w:t>
            </w:r>
            <w:r w:rsidR="00D177CE" w:rsidRPr="00BC7002">
              <w:rPr>
                <w:rFonts w:asciiTheme="minorHAnsi" w:hAnsiTheme="minorHAnsi"/>
                <w:sz w:val="22"/>
                <w:szCs w:val="22"/>
              </w:rPr>
              <w:t>399,076</w:t>
            </w:r>
          </w:p>
        </w:tc>
        <w:tc>
          <w:tcPr>
            <w:tcW w:w="1439" w:type="dxa"/>
          </w:tcPr>
          <w:p w14:paraId="5ABDDED2" w14:textId="77777777" w:rsidR="007E6EF7" w:rsidRPr="00BC7002" w:rsidRDefault="007E6EF7" w:rsidP="000B5268">
            <w:pPr>
              <w:pStyle w:val="Header"/>
              <w:jc w:val="both"/>
              <w:rPr>
                <w:rFonts w:asciiTheme="minorHAnsi" w:hAnsiTheme="minorHAnsi"/>
                <w:sz w:val="22"/>
                <w:szCs w:val="22"/>
              </w:rPr>
            </w:pPr>
          </w:p>
        </w:tc>
      </w:tr>
      <w:tr w:rsidR="007E6EF7" w:rsidRPr="00BC7002" w14:paraId="1B9A1B8F" w14:textId="411A0A43" w:rsidTr="007E6EF7">
        <w:tc>
          <w:tcPr>
            <w:tcW w:w="6374" w:type="dxa"/>
          </w:tcPr>
          <w:p w14:paraId="4EA299C1" w14:textId="7449E808" w:rsidR="007E6EF7" w:rsidRPr="00BC7002" w:rsidRDefault="007E6EF7" w:rsidP="007E6EF7">
            <w:pPr>
              <w:pStyle w:val="Header"/>
              <w:numPr>
                <w:ilvl w:val="0"/>
                <w:numId w:val="5"/>
              </w:numPr>
              <w:ind w:left="596"/>
              <w:jc w:val="both"/>
              <w:rPr>
                <w:rFonts w:asciiTheme="minorHAnsi" w:hAnsiTheme="minorHAnsi"/>
                <w:sz w:val="22"/>
                <w:szCs w:val="22"/>
              </w:rPr>
            </w:pPr>
            <w:r w:rsidRPr="00BC7002">
              <w:rPr>
                <w:rFonts w:asciiTheme="minorHAnsi" w:hAnsiTheme="minorHAnsi"/>
                <w:sz w:val="22"/>
                <w:szCs w:val="22"/>
              </w:rPr>
              <w:t>Roads to Recovery</w:t>
            </w:r>
          </w:p>
        </w:tc>
        <w:tc>
          <w:tcPr>
            <w:tcW w:w="1701" w:type="dxa"/>
          </w:tcPr>
          <w:p w14:paraId="4EF156C1" w14:textId="58FA1E39" w:rsidR="007E6EF7" w:rsidRPr="00BC7002" w:rsidRDefault="007E6EF7" w:rsidP="00F429DA">
            <w:pPr>
              <w:pStyle w:val="Header"/>
              <w:jc w:val="right"/>
              <w:rPr>
                <w:rFonts w:asciiTheme="minorHAnsi" w:hAnsiTheme="minorHAnsi"/>
                <w:sz w:val="22"/>
                <w:szCs w:val="22"/>
              </w:rPr>
            </w:pPr>
            <w:r w:rsidRPr="00BC7002">
              <w:rPr>
                <w:rFonts w:asciiTheme="minorHAnsi" w:hAnsiTheme="minorHAnsi"/>
                <w:sz w:val="22"/>
                <w:szCs w:val="22"/>
              </w:rPr>
              <w:t>$</w:t>
            </w:r>
            <w:r w:rsidR="00D177CE" w:rsidRPr="00BC7002">
              <w:rPr>
                <w:rFonts w:asciiTheme="minorHAnsi" w:hAnsiTheme="minorHAnsi"/>
                <w:sz w:val="22"/>
                <w:szCs w:val="22"/>
              </w:rPr>
              <w:t>181,566</w:t>
            </w:r>
          </w:p>
        </w:tc>
        <w:tc>
          <w:tcPr>
            <w:tcW w:w="1439" w:type="dxa"/>
          </w:tcPr>
          <w:p w14:paraId="1F087C5E" w14:textId="77777777" w:rsidR="007E6EF7" w:rsidRPr="00BC7002" w:rsidRDefault="007E6EF7" w:rsidP="000B5268">
            <w:pPr>
              <w:pStyle w:val="Header"/>
              <w:jc w:val="both"/>
              <w:rPr>
                <w:rFonts w:asciiTheme="minorHAnsi" w:hAnsiTheme="minorHAnsi"/>
                <w:sz w:val="22"/>
                <w:szCs w:val="22"/>
              </w:rPr>
            </w:pPr>
          </w:p>
        </w:tc>
      </w:tr>
      <w:tr w:rsidR="007E6EF7" w:rsidRPr="00BC7002" w14:paraId="74489F3D" w14:textId="2397D554" w:rsidTr="007E6EF7">
        <w:tc>
          <w:tcPr>
            <w:tcW w:w="6374" w:type="dxa"/>
          </w:tcPr>
          <w:p w14:paraId="021FF094" w14:textId="053A5CA9" w:rsidR="007E6EF7" w:rsidRPr="00BC7002" w:rsidRDefault="007E6EF7" w:rsidP="007E6EF7">
            <w:pPr>
              <w:pStyle w:val="Header"/>
              <w:numPr>
                <w:ilvl w:val="0"/>
                <w:numId w:val="5"/>
              </w:numPr>
              <w:ind w:left="596"/>
              <w:jc w:val="both"/>
              <w:rPr>
                <w:rFonts w:asciiTheme="minorHAnsi" w:hAnsiTheme="minorHAnsi"/>
                <w:sz w:val="22"/>
                <w:szCs w:val="22"/>
              </w:rPr>
            </w:pPr>
            <w:r w:rsidRPr="00BC7002">
              <w:rPr>
                <w:rFonts w:asciiTheme="minorHAnsi" w:hAnsiTheme="minorHAnsi"/>
                <w:sz w:val="22"/>
                <w:szCs w:val="22"/>
              </w:rPr>
              <w:t>Main Roads Direct Grant</w:t>
            </w:r>
          </w:p>
        </w:tc>
        <w:tc>
          <w:tcPr>
            <w:tcW w:w="1701" w:type="dxa"/>
          </w:tcPr>
          <w:p w14:paraId="1E5D1703" w14:textId="63D16D41" w:rsidR="007E6EF7" w:rsidRPr="00BC7002" w:rsidRDefault="007E6EF7" w:rsidP="00F429DA">
            <w:pPr>
              <w:pStyle w:val="Header"/>
              <w:jc w:val="right"/>
              <w:rPr>
                <w:rFonts w:asciiTheme="minorHAnsi" w:hAnsiTheme="minorHAnsi"/>
                <w:sz w:val="22"/>
                <w:szCs w:val="22"/>
              </w:rPr>
            </w:pPr>
            <w:r w:rsidRPr="00BC7002">
              <w:rPr>
                <w:rFonts w:asciiTheme="minorHAnsi" w:hAnsiTheme="minorHAnsi"/>
                <w:sz w:val="22"/>
                <w:szCs w:val="22"/>
              </w:rPr>
              <w:t>$</w:t>
            </w:r>
            <w:r w:rsidR="00D177CE" w:rsidRPr="00BC7002">
              <w:rPr>
                <w:rFonts w:asciiTheme="minorHAnsi" w:hAnsiTheme="minorHAnsi"/>
                <w:sz w:val="22"/>
                <w:szCs w:val="22"/>
              </w:rPr>
              <w:t>113,053</w:t>
            </w:r>
          </w:p>
        </w:tc>
        <w:tc>
          <w:tcPr>
            <w:tcW w:w="1439" w:type="dxa"/>
          </w:tcPr>
          <w:p w14:paraId="12DFAD51" w14:textId="77777777" w:rsidR="007E6EF7" w:rsidRPr="00BC7002" w:rsidRDefault="007E6EF7" w:rsidP="000B5268">
            <w:pPr>
              <w:pStyle w:val="Header"/>
              <w:jc w:val="both"/>
              <w:rPr>
                <w:rFonts w:asciiTheme="minorHAnsi" w:hAnsiTheme="minorHAnsi"/>
                <w:sz w:val="22"/>
                <w:szCs w:val="22"/>
              </w:rPr>
            </w:pPr>
          </w:p>
        </w:tc>
      </w:tr>
      <w:tr w:rsidR="007E6EF7" w:rsidRPr="00BC7002" w14:paraId="1D235633" w14:textId="2A08BFF0" w:rsidTr="007E6EF7">
        <w:tc>
          <w:tcPr>
            <w:tcW w:w="6374" w:type="dxa"/>
          </w:tcPr>
          <w:p w14:paraId="1419DED5" w14:textId="0A0081EB" w:rsidR="007E6EF7" w:rsidRPr="00BC7002" w:rsidRDefault="007E6EF7" w:rsidP="007E6EF7">
            <w:pPr>
              <w:pStyle w:val="Header"/>
              <w:ind w:left="596"/>
              <w:jc w:val="both"/>
              <w:rPr>
                <w:rFonts w:asciiTheme="minorHAnsi" w:hAnsiTheme="minorHAnsi"/>
                <w:sz w:val="22"/>
                <w:szCs w:val="22"/>
              </w:rPr>
            </w:pPr>
            <w:r w:rsidRPr="00BC7002">
              <w:rPr>
                <w:rFonts w:asciiTheme="minorHAnsi" w:hAnsiTheme="minorHAnsi"/>
                <w:sz w:val="22"/>
                <w:szCs w:val="22"/>
              </w:rPr>
              <w:t>Sub Total</w:t>
            </w:r>
          </w:p>
        </w:tc>
        <w:tc>
          <w:tcPr>
            <w:tcW w:w="1701" w:type="dxa"/>
          </w:tcPr>
          <w:p w14:paraId="3F864574" w14:textId="7C1213D9" w:rsidR="007E6EF7" w:rsidRPr="00BC7002" w:rsidRDefault="007E6EF7" w:rsidP="00F429DA">
            <w:pPr>
              <w:pStyle w:val="Header"/>
              <w:jc w:val="right"/>
              <w:rPr>
                <w:rFonts w:asciiTheme="minorHAnsi" w:hAnsiTheme="minorHAnsi"/>
                <w:sz w:val="22"/>
                <w:szCs w:val="22"/>
              </w:rPr>
            </w:pPr>
            <w:r w:rsidRPr="00BC7002">
              <w:rPr>
                <w:rFonts w:asciiTheme="minorHAnsi" w:hAnsiTheme="minorHAnsi"/>
                <w:sz w:val="22"/>
                <w:szCs w:val="22"/>
              </w:rPr>
              <w:t>$</w:t>
            </w:r>
            <w:r w:rsidR="00AB6A1E" w:rsidRPr="00BC7002">
              <w:rPr>
                <w:rFonts w:asciiTheme="minorHAnsi" w:hAnsiTheme="minorHAnsi"/>
                <w:sz w:val="22"/>
                <w:szCs w:val="22"/>
              </w:rPr>
              <w:t>812,839</w:t>
            </w:r>
          </w:p>
        </w:tc>
        <w:tc>
          <w:tcPr>
            <w:tcW w:w="1439" w:type="dxa"/>
          </w:tcPr>
          <w:p w14:paraId="2CB826EA" w14:textId="1663F7E1" w:rsidR="007E6EF7" w:rsidRPr="00BC7002" w:rsidRDefault="007E6EF7" w:rsidP="00F429DA">
            <w:pPr>
              <w:pStyle w:val="Header"/>
              <w:jc w:val="right"/>
              <w:rPr>
                <w:rFonts w:asciiTheme="minorHAnsi" w:hAnsiTheme="minorHAnsi"/>
                <w:sz w:val="22"/>
                <w:szCs w:val="22"/>
              </w:rPr>
            </w:pPr>
            <w:r w:rsidRPr="00BC7002">
              <w:rPr>
                <w:rFonts w:asciiTheme="minorHAnsi" w:hAnsiTheme="minorHAnsi"/>
                <w:sz w:val="22"/>
                <w:szCs w:val="22"/>
              </w:rPr>
              <w:t>$</w:t>
            </w:r>
            <w:r w:rsidR="00AB6A1E" w:rsidRPr="00BC7002">
              <w:rPr>
                <w:rFonts w:asciiTheme="minorHAnsi" w:hAnsiTheme="minorHAnsi"/>
                <w:sz w:val="22"/>
                <w:szCs w:val="22"/>
              </w:rPr>
              <w:t>812,839</w:t>
            </w:r>
          </w:p>
        </w:tc>
      </w:tr>
      <w:tr w:rsidR="00AB6A1E" w:rsidRPr="00BC7002" w14:paraId="7069F15D" w14:textId="6E5461DE" w:rsidTr="00B21DCC">
        <w:tc>
          <w:tcPr>
            <w:tcW w:w="8075" w:type="dxa"/>
            <w:gridSpan w:val="2"/>
          </w:tcPr>
          <w:p w14:paraId="688FD1A1" w14:textId="500BB841" w:rsidR="00AB6A1E" w:rsidRPr="00BC7002" w:rsidRDefault="00AB6A1E" w:rsidP="000B5268">
            <w:pPr>
              <w:pStyle w:val="Header"/>
              <w:jc w:val="both"/>
              <w:rPr>
                <w:rFonts w:asciiTheme="minorHAnsi" w:hAnsiTheme="minorHAnsi"/>
                <w:sz w:val="22"/>
                <w:szCs w:val="22"/>
              </w:rPr>
            </w:pPr>
            <w:r w:rsidRPr="00BC7002">
              <w:rPr>
                <w:rFonts w:asciiTheme="minorHAnsi" w:hAnsiTheme="minorHAnsi"/>
                <w:sz w:val="22"/>
                <w:szCs w:val="22"/>
              </w:rPr>
              <w:t>Once-off Grant</w:t>
            </w:r>
            <w:r w:rsidRPr="00BC7002">
              <w:rPr>
                <w:rFonts w:asciiTheme="minorHAnsi" w:hAnsiTheme="minorHAnsi"/>
                <w:sz w:val="22"/>
                <w:szCs w:val="22"/>
              </w:rPr>
              <w:t xml:space="preserve"> - Local Roads and Community Infrastructure (Round 4)</w:t>
            </w:r>
            <w:r w:rsidR="00F47D92">
              <w:rPr>
                <w:rFonts w:asciiTheme="minorHAnsi" w:hAnsiTheme="minorHAnsi"/>
                <w:sz w:val="22"/>
                <w:szCs w:val="22"/>
              </w:rPr>
              <w:t xml:space="preserve"> (1/2 in 22/23)</w:t>
            </w:r>
          </w:p>
        </w:tc>
        <w:tc>
          <w:tcPr>
            <w:tcW w:w="1439" w:type="dxa"/>
          </w:tcPr>
          <w:p w14:paraId="363B7C75" w14:textId="7F1D5438" w:rsidR="00AB6A1E" w:rsidRPr="00BC7002" w:rsidRDefault="00AB6A1E" w:rsidP="00F429DA">
            <w:pPr>
              <w:pStyle w:val="Header"/>
              <w:jc w:val="right"/>
              <w:rPr>
                <w:rFonts w:asciiTheme="minorHAnsi" w:hAnsiTheme="minorHAnsi"/>
                <w:sz w:val="22"/>
                <w:szCs w:val="22"/>
              </w:rPr>
            </w:pPr>
            <w:bookmarkStart w:id="1" w:name="_Hlk168069398"/>
            <w:r w:rsidRPr="00BC7002">
              <w:rPr>
                <w:rFonts w:asciiTheme="minorHAnsi" w:hAnsiTheme="minorHAnsi"/>
                <w:sz w:val="22"/>
                <w:szCs w:val="22"/>
              </w:rPr>
              <w:t>$</w:t>
            </w:r>
            <w:r w:rsidR="00D84A62" w:rsidRPr="00BC7002">
              <w:rPr>
                <w:rFonts w:asciiTheme="minorHAnsi" w:hAnsiTheme="minorHAnsi"/>
                <w:sz w:val="22"/>
                <w:szCs w:val="22"/>
              </w:rPr>
              <w:t>77,177</w:t>
            </w:r>
            <w:bookmarkEnd w:id="1"/>
          </w:p>
        </w:tc>
      </w:tr>
      <w:tr w:rsidR="00D177CE" w:rsidRPr="00BC7002" w14:paraId="4D17AD03" w14:textId="2246F027" w:rsidTr="00D177CE">
        <w:tc>
          <w:tcPr>
            <w:tcW w:w="8075" w:type="dxa"/>
            <w:gridSpan w:val="2"/>
            <w:tcBorders>
              <w:top w:val="single" w:sz="4" w:space="0" w:color="auto"/>
              <w:bottom w:val="single" w:sz="4" w:space="0" w:color="auto"/>
            </w:tcBorders>
          </w:tcPr>
          <w:p w14:paraId="49C95D93" w14:textId="4ABE769C" w:rsidR="00D177CE" w:rsidRPr="00BC7002" w:rsidRDefault="00D177CE" w:rsidP="000B5268">
            <w:pPr>
              <w:pStyle w:val="Header"/>
              <w:jc w:val="both"/>
              <w:rPr>
                <w:rFonts w:asciiTheme="minorHAnsi" w:hAnsiTheme="minorHAnsi"/>
                <w:b/>
                <w:bCs/>
                <w:sz w:val="22"/>
                <w:szCs w:val="22"/>
              </w:rPr>
            </w:pPr>
            <w:r w:rsidRPr="00BC7002">
              <w:rPr>
                <w:rFonts w:asciiTheme="minorHAnsi" w:hAnsiTheme="minorHAnsi"/>
                <w:b/>
                <w:bCs/>
                <w:sz w:val="22"/>
                <w:szCs w:val="22"/>
              </w:rPr>
              <w:t>Grand Total</w:t>
            </w:r>
          </w:p>
        </w:tc>
        <w:tc>
          <w:tcPr>
            <w:tcW w:w="1439" w:type="dxa"/>
            <w:tcBorders>
              <w:top w:val="single" w:sz="4" w:space="0" w:color="auto"/>
              <w:bottom w:val="single" w:sz="4" w:space="0" w:color="auto"/>
            </w:tcBorders>
          </w:tcPr>
          <w:p w14:paraId="1677C563" w14:textId="27688034" w:rsidR="00D177CE" w:rsidRPr="00BC7002" w:rsidRDefault="00D177CE" w:rsidP="00F429DA">
            <w:pPr>
              <w:pStyle w:val="Header"/>
              <w:jc w:val="right"/>
              <w:rPr>
                <w:rFonts w:asciiTheme="minorHAnsi" w:hAnsiTheme="minorHAnsi"/>
                <w:b/>
                <w:bCs/>
                <w:sz w:val="22"/>
                <w:szCs w:val="22"/>
              </w:rPr>
            </w:pPr>
            <w:r w:rsidRPr="00BC7002">
              <w:rPr>
                <w:rFonts w:asciiTheme="minorHAnsi" w:hAnsiTheme="minorHAnsi"/>
                <w:b/>
                <w:bCs/>
                <w:sz w:val="22"/>
                <w:szCs w:val="22"/>
              </w:rPr>
              <w:t>$</w:t>
            </w:r>
            <w:r w:rsidR="00D84A62" w:rsidRPr="00BC7002">
              <w:rPr>
                <w:rFonts w:asciiTheme="minorHAnsi" w:hAnsiTheme="minorHAnsi"/>
                <w:b/>
                <w:bCs/>
                <w:sz w:val="22"/>
                <w:szCs w:val="22"/>
              </w:rPr>
              <w:t>890,016</w:t>
            </w:r>
          </w:p>
        </w:tc>
      </w:tr>
    </w:tbl>
    <w:p w14:paraId="17A0A427" w14:textId="77777777" w:rsidR="00457A1C" w:rsidRDefault="00457A1C" w:rsidP="000B5268">
      <w:pPr>
        <w:pStyle w:val="Header"/>
        <w:jc w:val="both"/>
      </w:pPr>
    </w:p>
    <w:p w14:paraId="08BF0AB2" w14:textId="5C24279C" w:rsidR="007E6EF7" w:rsidRDefault="008D36A3" w:rsidP="000B5268">
      <w:pPr>
        <w:pStyle w:val="Header"/>
        <w:jc w:val="both"/>
        <w:rPr>
          <w:lang w:val="en-GB"/>
        </w:rPr>
      </w:pPr>
      <w:r>
        <w:t xml:space="preserve">To create a balance between providing services to the community, complying with the relevant legislation, accommodating the cost shifts from the </w:t>
      </w:r>
      <w:r>
        <w:rPr>
          <w:lang w:val="en-GB"/>
        </w:rPr>
        <w:t>State and Commonwealth Governments</w:t>
      </w:r>
      <w:r>
        <w:rPr>
          <w:lang w:val="en-GB"/>
        </w:rPr>
        <w:t>, the Shire of Pingelly allocate</w:t>
      </w:r>
      <w:r w:rsidR="008A1E9B">
        <w:rPr>
          <w:lang w:val="en-GB"/>
        </w:rPr>
        <w:t>s</w:t>
      </w:r>
      <w:r>
        <w:rPr>
          <w:lang w:val="en-GB"/>
        </w:rPr>
        <w:t xml:space="preserve"> $</w:t>
      </w:r>
      <w:r w:rsidR="008A1E9B">
        <w:rPr>
          <w:lang w:val="en-GB"/>
        </w:rPr>
        <w:t>1.3</w:t>
      </w:r>
      <w:r>
        <w:rPr>
          <w:lang w:val="en-GB"/>
        </w:rPr>
        <w:t xml:space="preserve"> million to asset replacement in addition to the </w:t>
      </w:r>
      <w:r>
        <w:rPr>
          <w:lang w:val="en-GB"/>
        </w:rPr>
        <w:t>State and Commonwealth Government</w:t>
      </w:r>
      <w:r>
        <w:rPr>
          <w:lang w:val="en-GB"/>
        </w:rPr>
        <w:t>’</w:t>
      </w:r>
      <w:r>
        <w:rPr>
          <w:lang w:val="en-GB"/>
        </w:rPr>
        <w:t>s</w:t>
      </w:r>
      <w:r>
        <w:rPr>
          <w:lang w:val="en-GB"/>
        </w:rPr>
        <w:t xml:space="preserve"> $0.</w:t>
      </w:r>
      <w:r w:rsidR="008A1E9B">
        <w:rPr>
          <w:lang w:val="en-GB"/>
        </w:rPr>
        <w:t>8</w:t>
      </w:r>
      <w:r>
        <w:rPr>
          <w:lang w:val="en-GB"/>
        </w:rPr>
        <w:t xml:space="preserve"> million. This </w:t>
      </w:r>
      <w:r w:rsidR="008A1E9B">
        <w:rPr>
          <w:lang w:val="en-GB"/>
        </w:rPr>
        <w:t xml:space="preserve">leaves an asset replacement gap of $1.4 million per year. This gap is accumulating, meaning that local roads, buildings and footpaths are deteriorating at a rapid rate, creating a significant risk of increased road deaths and slip and falls accidents. This liability is borne by the Shire, but has been created by the </w:t>
      </w:r>
      <w:r w:rsidR="008A1E9B">
        <w:rPr>
          <w:lang w:val="en-GB"/>
        </w:rPr>
        <w:t>State and Commonwealth Governments</w:t>
      </w:r>
      <w:r w:rsidR="008A1E9B">
        <w:rPr>
          <w:lang w:val="en-GB"/>
        </w:rPr>
        <w:t xml:space="preserve"> through in</w:t>
      </w:r>
      <w:r w:rsidR="00D5515D">
        <w:rPr>
          <w:lang w:val="en-GB"/>
        </w:rPr>
        <w:t xml:space="preserve">adequate funding. </w:t>
      </w:r>
    </w:p>
    <w:p w14:paraId="0265151A" w14:textId="77777777" w:rsidR="00F47D92" w:rsidRDefault="00F47D92" w:rsidP="000B5268">
      <w:pPr>
        <w:pStyle w:val="Header"/>
        <w:jc w:val="both"/>
        <w:rPr>
          <w:lang w:val="en-GB"/>
        </w:rPr>
      </w:pPr>
    </w:p>
    <w:p w14:paraId="2043EDC0" w14:textId="77777777" w:rsidR="00C769E4" w:rsidRDefault="00C769E4" w:rsidP="00C769E4">
      <w:pPr>
        <w:pStyle w:val="Header"/>
        <w:jc w:val="both"/>
        <w:rPr>
          <w:lang w:val="en-GB"/>
        </w:rPr>
      </w:pPr>
      <w:r>
        <w:rPr>
          <w:lang w:val="en-GB"/>
        </w:rPr>
        <w:t xml:space="preserve">This asset replacement gap is common to most regional local governments across Australia – large or small. </w:t>
      </w:r>
    </w:p>
    <w:p w14:paraId="71F9EF41" w14:textId="77777777" w:rsidR="00C769E4" w:rsidRDefault="00C769E4" w:rsidP="00C769E4">
      <w:pPr>
        <w:pStyle w:val="Header"/>
        <w:jc w:val="both"/>
        <w:rPr>
          <w:lang w:val="en-GB"/>
        </w:rPr>
      </w:pPr>
    </w:p>
    <w:p w14:paraId="771EDDCC" w14:textId="1BDD2742" w:rsidR="00D342CE" w:rsidRDefault="00F47D92" w:rsidP="000B5268">
      <w:pPr>
        <w:pStyle w:val="Header"/>
        <w:jc w:val="both"/>
      </w:pPr>
      <w:r>
        <w:rPr>
          <w:lang w:val="en-GB"/>
        </w:rPr>
        <w:t>Roads to Recovery is set to increase to $2 million for the 5 years from 2024/25 to 2028/29. This is a</w:t>
      </w:r>
      <w:r w:rsidR="00D342CE">
        <w:rPr>
          <w:lang w:val="en-GB"/>
        </w:rPr>
        <w:t xml:space="preserve"> significant i</w:t>
      </w:r>
      <w:r>
        <w:rPr>
          <w:lang w:val="en-GB"/>
        </w:rPr>
        <w:t xml:space="preserve">ncrease from the $1.1 million for the previous 5 years. </w:t>
      </w:r>
      <w:r w:rsidR="00D342CE">
        <w:rPr>
          <w:lang w:val="en-GB"/>
        </w:rPr>
        <w:t>However</w:t>
      </w:r>
      <w:r w:rsidR="003F6475">
        <w:rPr>
          <w:lang w:val="en-GB"/>
        </w:rPr>
        <w:t>,</w:t>
      </w:r>
      <w:r w:rsidR="00D342CE">
        <w:rPr>
          <w:lang w:val="en-GB"/>
        </w:rPr>
        <w:t xml:space="preserve"> in real terms, the value of the $1.1 million from 5 years ago (compounding) is worth $1.4 million today. </w:t>
      </w:r>
      <w:r w:rsidR="00D342CE">
        <w:rPr>
          <w:lang w:val="en-GB"/>
        </w:rPr>
        <w:t>LRCI road funding</w:t>
      </w:r>
      <w:r w:rsidR="00D342CE">
        <w:rPr>
          <w:lang w:val="en-GB"/>
        </w:rPr>
        <w:t xml:space="preserve"> of </w:t>
      </w:r>
      <w:r w:rsidR="00D342CE" w:rsidRPr="00BC7002">
        <w:t>$77,177</w:t>
      </w:r>
      <w:r w:rsidR="00D342CE">
        <w:t xml:space="preserve"> per year is worth $385,885 over 5 years. However</w:t>
      </w:r>
      <w:r w:rsidR="003F6475">
        <w:t>,</w:t>
      </w:r>
      <w:r w:rsidR="00D342CE">
        <w:t xml:space="preserve"> this has been discontinued.</w:t>
      </w:r>
      <w:r w:rsidR="003F6475">
        <w:t xml:space="preserve"> </w:t>
      </w:r>
      <w:r w:rsidR="00DC5A0C">
        <w:t>Extrapolating c</w:t>
      </w:r>
      <w:r w:rsidR="003F6475">
        <w:t xml:space="preserve">urrent levels of road funding, taking the current value of the $1.1 million and </w:t>
      </w:r>
      <w:r w:rsidR="003F6475">
        <w:rPr>
          <w:lang w:val="en-GB"/>
        </w:rPr>
        <w:t>LRCI road funding program</w:t>
      </w:r>
      <w:r w:rsidR="003F6475">
        <w:t>,</w:t>
      </w:r>
      <w:r w:rsidR="00DC5A0C">
        <w:t xml:space="preserve"> would equate to</w:t>
      </w:r>
      <w:r w:rsidR="003F6475">
        <w:t xml:space="preserve"> </w:t>
      </w:r>
      <w:r w:rsidR="00D342CE">
        <w:t>$1.78 million</w:t>
      </w:r>
      <w:r w:rsidR="003F6475">
        <w:t xml:space="preserve"> for the </w:t>
      </w:r>
      <w:r w:rsidR="003F6475">
        <w:rPr>
          <w:lang w:val="en-GB"/>
        </w:rPr>
        <w:t>5 years from 2024/25 to 2028/29.</w:t>
      </w:r>
      <w:r w:rsidR="003F6475">
        <w:rPr>
          <w:lang w:val="en-GB"/>
        </w:rPr>
        <w:t xml:space="preserve"> The</w:t>
      </w:r>
      <w:r w:rsidR="00DC5A0C">
        <w:rPr>
          <w:lang w:val="en-GB"/>
        </w:rPr>
        <w:t xml:space="preserve"> $2 million announced is an additional</w:t>
      </w:r>
      <w:r w:rsidR="003F6475">
        <w:rPr>
          <w:lang w:val="en-GB"/>
        </w:rPr>
        <w:t xml:space="preserve"> </w:t>
      </w:r>
      <w:r w:rsidR="00DC5A0C">
        <w:rPr>
          <w:lang w:val="en-GB"/>
        </w:rPr>
        <w:t xml:space="preserve">$120,000 over 5 years. This is an additional $24,000 per year. While this increase is not substantial in itself, the security of funding over the next 5 years is welcomed. </w:t>
      </w:r>
    </w:p>
    <w:p w14:paraId="16EAACFD" w14:textId="77777777" w:rsidR="00D5515D" w:rsidRDefault="00D5515D" w:rsidP="000B5268">
      <w:pPr>
        <w:pStyle w:val="Header"/>
        <w:jc w:val="both"/>
        <w:rPr>
          <w:lang w:val="en-GB"/>
        </w:rPr>
      </w:pPr>
    </w:p>
    <w:p w14:paraId="2025EE40" w14:textId="1C6E8E14" w:rsidR="00761890" w:rsidRPr="00761890" w:rsidRDefault="00761890" w:rsidP="00761890">
      <w:pPr>
        <w:pStyle w:val="Header"/>
        <w:rPr>
          <w:b/>
          <w:bCs/>
          <w:sz w:val="26"/>
          <w:szCs w:val="26"/>
          <w:lang w:val="en-GB"/>
        </w:rPr>
      </w:pPr>
      <w:r w:rsidRPr="00761890">
        <w:rPr>
          <w:b/>
          <w:bCs/>
          <w:sz w:val="26"/>
          <w:szCs w:val="26"/>
          <w:lang w:val="en-GB"/>
        </w:rPr>
        <w:t xml:space="preserve">Compliance and Legislative </w:t>
      </w:r>
      <w:r>
        <w:rPr>
          <w:b/>
          <w:bCs/>
          <w:sz w:val="26"/>
          <w:szCs w:val="26"/>
          <w:lang w:val="en-GB"/>
        </w:rPr>
        <w:t>R</w:t>
      </w:r>
      <w:r w:rsidRPr="00761890">
        <w:rPr>
          <w:b/>
          <w:bCs/>
          <w:sz w:val="26"/>
          <w:szCs w:val="26"/>
          <w:lang w:val="en-GB"/>
        </w:rPr>
        <w:t xml:space="preserve">equirements  </w:t>
      </w:r>
    </w:p>
    <w:p w14:paraId="156A46D4" w14:textId="7E274E3A" w:rsidR="00761890" w:rsidRDefault="00761890" w:rsidP="00761890">
      <w:pPr>
        <w:pStyle w:val="Header"/>
        <w:jc w:val="both"/>
        <w:rPr>
          <w:lang w:val="en-GB"/>
        </w:rPr>
      </w:pPr>
      <w:r>
        <w:rPr>
          <w:lang w:val="en-GB"/>
        </w:rPr>
        <w:t xml:space="preserve">Local governments are required under various legislation to provide certain services and perform certain functions. These requirements often are implemented without compensation or consideration about how they will be funded. When funding is considered either through fees or direct grants, invariably the funding is eroded over time to be negligible. </w:t>
      </w:r>
      <w:r w:rsidR="00F429DA">
        <w:rPr>
          <w:lang w:val="en-GB"/>
        </w:rPr>
        <w:t xml:space="preserve">The Shire of Pingelly is legally required to provide the below statutory services, however the statutory fees </w:t>
      </w:r>
      <w:r w:rsidR="00DB4B93">
        <w:rPr>
          <w:lang w:val="en-GB"/>
        </w:rPr>
        <w:t xml:space="preserve">only cover 11.9% ($245,239) of the costs incurred. This equates to 10.4% of the annual rate income for the same financial year. </w:t>
      </w:r>
    </w:p>
    <w:p w14:paraId="1607CC88" w14:textId="77777777" w:rsidR="00761890" w:rsidRDefault="00761890" w:rsidP="00761890">
      <w:pPr>
        <w:pStyle w:val="Header"/>
        <w:jc w:val="both"/>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26"/>
        <w:gridCol w:w="1450"/>
        <w:gridCol w:w="1530"/>
        <w:gridCol w:w="1149"/>
        <w:gridCol w:w="1359"/>
      </w:tblGrid>
      <w:tr w:rsidR="00DB4B93" w:rsidRPr="00BC7002" w14:paraId="433C1DD7" w14:textId="77777777" w:rsidTr="006B332B">
        <w:tc>
          <w:tcPr>
            <w:tcW w:w="9514" w:type="dxa"/>
            <w:gridSpan w:val="5"/>
          </w:tcPr>
          <w:p w14:paraId="2609061C" w14:textId="6D8C4B6A" w:rsidR="00DB4B93" w:rsidRPr="00091AE1" w:rsidRDefault="00DB4B93" w:rsidP="00DB4B93">
            <w:pPr>
              <w:pStyle w:val="Header"/>
              <w:jc w:val="center"/>
              <w:rPr>
                <w:rFonts w:asciiTheme="minorHAnsi" w:hAnsiTheme="minorHAnsi"/>
                <w:b/>
                <w:bCs/>
                <w:sz w:val="22"/>
                <w:szCs w:val="22"/>
                <w:lang w:val="en-GB"/>
              </w:rPr>
            </w:pPr>
            <w:r w:rsidRPr="00091AE1">
              <w:rPr>
                <w:rFonts w:asciiTheme="minorHAnsi" w:hAnsiTheme="minorHAnsi"/>
                <w:b/>
                <w:bCs/>
                <w:sz w:val="22"/>
                <w:szCs w:val="22"/>
                <w:lang w:val="en-GB"/>
              </w:rPr>
              <w:t>Statutory Services</w:t>
            </w:r>
            <w:r w:rsidRPr="00091AE1">
              <w:rPr>
                <w:rFonts w:asciiTheme="minorHAnsi" w:hAnsiTheme="minorHAnsi"/>
                <w:b/>
                <w:bCs/>
                <w:sz w:val="22"/>
                <w:szCs w:val="22"/>
                <w:lang w:val="en-GB"/>
              </w:rPr>
              <w:t xml:space="preserve"> provided by the Shire of Pingelly (2022/23 Financial Year)</w:t>
            </w:r>
          </w:p>
        </w:tc>
      </w:tr>
      <w:tr w:rsidR="00F429DA" w:rsidRPr="00BC7002" w14:paraId="5D9A5485" w14:textId="77777777" w:rsidTr="00DB4B93">
        <w:tc>
          <w:tcPr>
            <w:tcW w:w="4026" w:type="dxa"/>
          </w:tcPr>
          <w:p w14:paraId="594EAB05" w14:textId="1728823C" w:rsidR="00F429DA" w:rsidRPr="00BC7002" w:rsidRDefault="00F429DA" w:rsidP="00761890">
            <w:pPr>
              <w:pStyle w:val="Header"/>
              <w:jc w:val="both"/>
              <w:rPr>
                <w:rFonts w:asciiTheme="minorHAnsi" w:hAnsiTheme="minorHAnsi"/>
                <w:sz w:val="22"/>
                <w:szCs w:val="22"/>
                <w:lang w:val="en-GB"/>
              </w:rPr>
            </w:pPr>
          </w:p>
        </w:tc>
        <w:tc>
          <w:tcPr>
            <w:tcW w:w="1450" w:type="dxa"/>
          </w:tcPr>
          <w:p w14:paraId="3A03CF6F" w14:textId="7985BE81" w:rsidR="00F429DA" w:rsidRPr="00BC7002" w:rsidRDefault="00F429DA" w:rsidP="00F429DA">
            <w:pPr>
              <w:pStyle w:val="Header"/>
              <w:jc w:val="right"/>
              <w:rPr>
                <w:rFonts w:asciiTheme="minorHAnsi" w:hAnsiTheme="minorHAnsi"/>
                <w:sz w:val="22"/>
                <w:szCs w:val="22"/>
                <w:lang w:val="en-GB"/>
              </w:rPr>
            </w:pPr>
            <w:r w:rsidRPr="00BC7002">
              <w:rPr>
                <w:rFonts w:asciiTheme="minorHAnsi" w:hAnsiTheme="minorHAnsi"/>
                <w:sz w:val="22"/>
                <w:szCs w:val="22"/>
                <w:lang w:val="en-GB"/>
              </w:rPr>
              <w:t>Cost to SoP</w:t>
            </w:r>
          </w:p>
        </w:tc>
        <w:tc>
          <w:tcPr>
            <w:tcW w:w="1530" w:type="dxa"/>
          </w:tcPr>
          <w:p w14:paraId="3F39AF63" w14:textId="6623B9E3" w:rsidR="00F429DA" w:rsidRPr="00BC7002" w:rsidRDefault="00F429DA" w:rsidP="00F429DA">
            <w:pPr>
              <w:pStyle w:val="Header"/>
              <w:jc w:val="right"/>
              <w:rPr>
                <w:rFonts w:asciiTheme="minorHAnsi" w:hAnsiTheme="minorHAnsi"/>
                <w:sz w:val="22"/>
                <w:szCs w:val="22"/>
                <w:lang w:val="en-GB"/>
              </w:rPr>
            </w:pPr>
            <w:r w:rsidRPr="00BC7002">
              <w:rPr>
                <w:rFonts w:asciiTheme="minorHAnsi" w:hAnsiTheme="minorHAnsi"/>
                <w:sz w:val="22"/>
                <w:szCs w:val="22"/>
                <w:lang w:val="en-GB"/>
              </w:rPr>
              <w:t>Statutory Fee Income</w:t>
            </w:r>
          </w:p>
        </w:tc>
        <w:tc>
          <w:tcPr>
            <w:tcW w:w="1149" w:type="dxa"/>
          </w:tcPr>
          <w:p w14:paraId="5CABDE7D" w14:textId="57E0D89C" w:rsidR="00F429DA" w:rsidRPr="00BC7002" w:rsidRDefault="00F429DA" w:rsidP="00F429DA">
            <w:pPr>
              <w:pStyle w:val="Header"/>
              <w:jc w:val="right"/>
              <w:rPr>
                <w:rFonts w:asciiTheme="minorHAnsi" w:hAnsiTheme="minorHAnsi"/>
                <w:sz w:val="22"/>
                <w:szCs w:val="22"/>
                <w:lang w:val="en-GB"/>
              </w:rPr>
            </w:pPr>
            <w:r w:rsidRPr="00BC7002">
              <w:rPr>
                <w:rFonts w:asciiTheme="minorHAnsi" w:hAnsiTheme="minorHAnsi"/>
                <w:sz w:val="22"/>
                <w:szCs w:val="22"/>
                <w:lang w:val="en-GB"/>
              </w:rPr>
              <w:t>% Cost Recovery</w:t>
            </w:r>
          </w:p>
        </w:tc>
        <w:tc>
          <w:tcPr>
            <w:tcW w:w="1359" w:type="dxa"/>
          </w:tcPr>
          <w:p w14:paraId="230A4F8B" w14:textId="64DE6831" w:rsidR="00F429DA" w:rsidRPr="00BC7002" w:rsidRDefault="00F429DA" w:rsidP="00F429DA">
            <w:pPr>
              <w:pStyle w:val="Header"/>
              <w:jc w:val="right"/>
              <w:rPr>
                <w:rFonts w:asciiTheme="minorHAnsi" w:hAnsiTheme="minorHAnsi"/>
                <w:sz w:val="22"/>
                <w:szCs w:val="22"/>
                <w:lang w:val="en-GB"/>
              </w:rPr>
            </w:pPr>
            <w:r w:rsidRPr="00BC7002">
              <w:rPr>
                <w:rFonts w:asciiTheme="minorHAnsi" w:hAnsiTheme="minorHAnsi"/>
                <w:sz w:val="22"/>
                <w:szCs w:val="22"/>
                <w:lang w:val="en-GB"/>
              </w:rPr>
              <w:t>Loss on Service</w:t>
            </w:r>
            <w:r w:rsidR="00DB4B93" w:rsidRPr="00BC7002">
              <w:rPr>
                <w:rFonts w:asciiTheme="minorHAnsi" w:hAnsiTheme="minorHAnsi"/>
                <w:sz w:val="22"/>
                <w:szCs w:val="22"/>
                <w:lang w:val="en-GB"/>
              </w:rPr>
              <w:t>s</w:t>
            </w:r>
          </w:p>
        </w:tc>
      </w:tr>
      <w:tr w:rsidR="00F429DA" w:rsidRPr="00BC7002" w14:paraId="06EB687F" w14:textId="77777777" w:rsidTr="00DB4B93">
        <w:tc>
          <w:tcPr>
            <w:tcW w:w="4026" w:type="dxa"/>
            <w:vAlign w:val="center"/>
          </w:tcPr>
          <w:p w14:paraId="04A96808" w14:textId="7F07294B" w:rsidR="00F429DA" w:rsidRPr="00BC7002" w:rsidRDefault="00F429DA" w:rsidP="00F429DA">
            <w:pPr>
              <w:pStyle w:val="Header"/>
              <w:jc w:val="both"/>
              <w:rPr>
                <w:rFonts w:asciiTheme="minorHAnsi" w:hAnsiTheme="minorHAnsi"/>
                <w:sz w:val="22"/>
                <w:szCs w:val="22"/>
                <w:lang w:val="en-GB"/>
              </w:rPr>
            </w:pPr>
            <w:r w:rsidRPr="00761890">
              <w:rPr>
                <w:rFonts w:asciiTheme="minorHAnsi" w:eastAsiaTheme="minorHAnsi" w:hAnsiTheme="minorHAnsi" w:cstheme="minorBidi"/>
                <w:sz w:val="22"/>
                <w:szCs w:val="22"/>
                <w:lang w:eastAsia="en-US"/>
              </w:rPr>
              <w:t>Dog Permits</w:t>
            </w:r>
          </w:p>
        </w:tc>
        <w:tc>
          <w:tcPr>
            <w:tcW w:w="1450" w:type="dxa"/>
            <w:vAlign w:val="center"/>
          </w:tcPr>
          <w:p w14:paraId="7208BC17" w14:textId="50C82D63" w:rsidR="00F429DA" w:rsidRPr="00BC7002" w:rsidRDefault="00F429DA" w:rsidP="00F429DA">
            <w:pPr>
              <w:pStyle w:val="Header"/>
              <w:jc w:val="right"/>
              <w:rPr>
                <w:rFonts w:asciiTheme="minorHAnsi" w:hAnsiTheme="minorHAnsi"/>
                <w:sz w:val="22"/>
                <w:szCs w:val="22"/>
                <w:lang w:val="en-GB"/>
              </w:rPr>
            </w:pPr>
            <w:r w:rsidRPr="00BC7002">
              <w:rPr>
                <w:rFonts w:asciiTheme="minorHAnsi" w:eastAsiaTheme="minorHAnsi" w:hAnsiTheme="minorHAnsi" w:cstheme="minorBidi"/>
                <w:sz w:val="22"/>
                <w:szCs w:val="22"/>
                <w:lang w:eastAsia="en-US"/>
              </w:rPr>
              <w:t>$</w:t>
            </w:r>
            <w:r w:rsidRPr="00761890">
              <w:rPr>
                <w:rFonts w:asciiTheme="minorHAnsi" w:eastAsiaTheme="minorHAnsi" w:hAnsiTheme="minorHAnsi" w:cstheme="minorBidi"/>
                <w:sz w:val="22"/>
                <w:szCs w:val="22"/>
                <w:lang w:eastAsia="en-US"/>
              </w:rPr>
              <w:t>13,459</w:t>
            </w:r>
          </w:p>
        </w:tc>
        <w:tc>
          <w:tcPr>
            <w:tcW w:w="1530" w:type="dxa"/>
            <w:vAlign w:val="center"/>
          </w:tcPr>
          <w:p w14:paraId="5424BF9B" w14:textId="2A8214A5" w:rsidR="00F429DA" w:rsidRPr="00BC7002" w:rsidRDefault="00F429DA" w:rsidP="00F429DA">
            <w:pPr>
              <w:pStyle w:val="Header"/>
              <w:jc w:val="right"/>
              <w:rPr>
                <w:rFonts w:asciiTheme="minorHAnsi" w:hAnsiTheme="minorHAnsi"/>
                <w:sz w:val="22"/>
                <w:szCs w:val="22"/>
                <w:lang w:val="en-GB"/>
              </w:rPr>
            </w:pPr>
            <w:r w:rsidRPr="00BC7002">
              <w:rPr>
                <w:rFonts w:asciiTheme="minorHAnsi" w:eastAsiaTheme="minorHAnsi" w:hAnsiTheme="minorHAnsi" w:cstheme="minorBidi"/>
                <w:sz w:val="22"/>
                <w:szCs w:val="22"/>
                <w:lang w:eastAsia="en-US"/>
              </w:rPr>
              <w:t>$</w:t>
            </w:r>
            <w:r w:rsidRPr="00761890">
              <w:rPr>
                <w:rFonts w:asciiTheme="minorHAnsi" w:eastAsiaTheme="minorHAnsi" w:hAnsiTheme="minorHAnsi" w:cstheme="minorBidi"/>
                <w:sz w:val="22"/>
                <w:szCs w:val="22"/>
                <w:lang w:eastAsia="en-US"/>
              </w:rPr>
              <w:t>3348</w:t>
            </w:r>
          </w:p>
        </w:tc>
        <w:tc>
          <w:tcPr>
            <w:tcW w:w="1149" w:type="dxa"/>
          </w:tcPr>
          <w:p w14:paraId="6E06321A" w14:textId="1CEDCD4F" w:rsidR="00F429DA" w:rsidRPr="00BC7002" w:rsidRDefault="00F429DA" w:rsidP="00F429DA">
            <w:pPr>
              <w:pStyle w:val="Header"/>
              <w:jc w:val="right"/>
              <w:rPr>
                <w:rFonts w:asciiTheme="minorHAnsi" w:hAnsiTheme="minorHAnsi"/>
                <w:sz w:val="22"/>
                <w:szCs w:val="22"/>
              </w:rPr>
            </w:pPr>
            <w:r w:rsidRPr="00BC7002">
              <w:rPr>
                <w:rFonts w:asciiTheme="minorHAnsi" w:hAnsiTheme="minorHAnsi"/>
                <w:sz w:val="22"/>
                <w:szCs w:val="22"/>
              </w:rPr>
              <w:t>24%</w:t>
            </w:r>
          </w:p>
        </w:tc>
        <w:tc>
          <w:tcPr>
            <w:tcW w:w="1359" w:type="dxa"/>
            <w:vAlign w:val="center"/>
          </w:tcPr>
          <w:p w14:paraId="20D783E3" w14:textId="48833E9F" w:rsidR="00F429DA" w:rsidRPr="00BC7002" w:rsidRDefault="00F429DA" w:rsidP="00F429DA">
            <w:pPr>
              <w:pStyle w:val="Header"/>
              <w:jc w:val="right"/>
              <w:rPr>
                <w:rFonts w:asciiTheme="minorHAnsi" w:hAnsiTheme="minorHAnsi"/>
                <w:sz w:val="22"/>
                <w:szCs w:val="22"/>
                <w:lang w:val="en-GB"/>
              </w:rPr>
            </w:pPr>
            <w:r w:rsidRPr="00BC7002">
              <w:rPr>
                <w:rFonts w:asciiTheme="minorHAnsi" w:eastAsiaTheme="minorHAnsi" w:hAnsiTheme="minorHAnsi" w:cstheme="minorBidi"/>
                <w:sz w:val="22"/>
                <w:szCs w:val="22"/>
                <w:lang w:eastAsia="en-US"/>
              </w:rPr>
              <w:t>$</w:t>
            </w:r>
            <w:r w:rsidRPr="00761890">
              <w:rPr>
                <w:rFonts w:asciiTheme="minorHAnsi" w:eastAsiaTheme="minorHAnsi" w:hAnsiTheme="minorHAnsi" w:cstheme="minorBidi"/>
                <w:sz w:val="22"/>
                <w:szCs w:val="22"/>
                <w:lang w:eastAsia="en-US"/>
              </w:rPr>
              <w:t>10</w:t>
            </w:r>
            <w:r w:rsidRPr="00BC7002">
              <w:rPr>
                <w:rFonts w:asciiTheme="minorHAnsi" w:eastAsiaTheme="minorHAnsi" w:hAnsiTheme="minorHAnsi" w:cstheme="minorBidi"/>
                <w:sz w:val="22"/>
                <w:szCs w:val="22"/>
                <w:lang w:eastAsia="en-US"/>
              </w:rPr>
              <w:t>,</w:t>
            </w:r>
            <w:r w:rsidRPr="00761890">
              <w:rPr>
                <w:rFonts w:asciiTheme="minorHAnsi" w:eastAsiaTheme="minorHAnsi" w:hAnsiTheme="minorHAnsi" w:cstheme="minorBidi"/>
                <w:sz w:val="22"/>
                <w:szCs w:val="22"/>
                <w:lang w:eastAsia="en-US"/>
              </w:rPr>
              <w:t>111</w:t>
            </w:r>
          </w:p>
        </w:tc>
      </w:tr>
      <w:tr w:rsidR="00F429DA" w:rsidRPr="00BC7002" w14:paraId="5C350515" w14:textId="77777777" w:rsidTr="00DB4B93">
        <w:tc>
          <w:tcPr>
            <w:tcW w:w="4026" w:type="dxa"/>
            <w:vAlign w:val="center"/>
          </w:tcPr>
          <w:p w14:paraId="10147920" w14:textId="5D94E757" w:rsidR="00F429DA" w:rsidRPr="00BC7002" w:rsidRDefault="00F429DA" w:rsidP="00F429DA">
            <w:pPr>
              <w:pStyle w:val="Header"/>
              <w:jc w:val="both"/>
              <w:rPr>
                <w:rFonts w:asciiTheme="minorHAnsi" w:hAnsiTheme="minorHAnsi"/>
                <w:sz w:val="22"/>
                <w:szCs w:val="22"/>
                <w:lang w:val="en-GB"/>
              </w:rPr>
            </w:pPr>
            <w:r w:rsidRPr="00761890">
              <w:rPr>
                <w:rFonts w:asciiTheme="minorHAnsi" w:eastAsiaTheme="minorHAnsi" w:hAnsiTheme="minorHAnsi" w:cstheme="minorBidi"/>
                <w:sz w:val="22"/>
                <w:szCs w:val="22"/>
                <w:lang w:eastAsia="en-US"/>
              </w:rPr>
              <w:t>Cat Permits</w:t>
            </w:r>
          </w:p>
        </w:tc>
        <w:tc>
          <w:tcPr>
            <w:tcW w:w="1450" w:type="dxa"/>
            <w:vAlign w:val="center"/>
          </w:tcPr>
          <w:p w14:paraId="7C7781CF" w14:textId="347BD7A9" w:rsidR="00F429DA" w:rsidRPr="00BC7002" w:rsidRDefault="00F429DA" w:rsidP="00F429DA">
            <w:pPr>
              <w:pStyle w:val="Header"/>
              <w:jc w:val="right"/>
              <w:rPr>
                <w:rFonts w:asciiTheme="minorHAnsi" w:hAnsiTheme="minorHAnsi"/>
                <w:sz w:val="22"/>
                <w:szCs w:val="22"/>
                <w:lang w:val="en-GB"/>
              </w:rPr>
            </w:pPr>
            <w:r w:rsidRPr="00BC7002">
              <w:rPr>
                <w:rFonts w:asciiTheme="minorHAnsi" w:eastAsiaTheme="minorHAnsi" w:hAnsiTheme="minorHAnsi" w:cstheme="minorBidi"/>
                <w:sz w:val="22"/>
                <w:szCs w:val="22"/>
                <w:lang w:eastAsia="en-US"/>
              </w:rPr>
              <w:t>$</w:t>
            </w:r>
            <w:r w:rsidRPr="00761890">
              <w:rPr>
                <w:rFonts w:asciiTheme="minorHAnsi" w:eastAsiaTheme="minorHAnsi" w:hAnsiTheme="minorHAnsi" w:cstheme="minorBidi"/>
                <w:sz w:val="22"/>
                <w:szCs w:val="22"/>
                <w:lang w:eastAsia="en-US"/>
              </w:rPr>
              <w:t>13,459</w:t>
            </w:r>
          </w:p>
        </w:tc>
        <w:tc>
          <w:tcPr>
            <w:tcW w:w="1530" w:type="dxa"/>
            <w:vAlign w:val="center"/>
          </w:tcPr>
          <w:p w14:paraId="0FBBE374" w14:textId="0E0D4D2F" w:rsidR="00F429DA" w:rsidRPr="00BC7002" w:rsidRDefault="00F429DA" w:rsidP="00F429DA">
            <w:pPr>
              <w:pStyle w:val="Header"/>
              <w:jc w:val="right"/>
              <w:rPr>
                <w:rFonts w:asciiTheme="minorHAnsi" w:hAnsiTheme="minorHAnsi"/>
                <w:sz w:val="22"/>
                <w:szCs w:val="22"/>
                <w:lang w:val="en-GB"/>
              </w:rPr>
            </w:pPr>
            <w:r w:rsidRPr="00BC7002">
              <w:rPr>
                <w:rFonts w:asciiTheme="minorHAnsi" w:eastAsiaTheme="minorHAnsi" w:hAnsiTheme="minorHAnsi" w:cstheme="minorBidi"/>
                <w:sz w:val="22"/>
                <w:szCs w:val="22"/>
                <w:lang w:eastAsia="en-US"/>
              </w:rPr>
              <w:t>$</w:t>
            </w:r>
            <w:r w:rsidRPr="00761890">
              <w:rPr>
                <w:rFonts w:asciiTheme="minorHAnsi" w:eastAsiaTheme="minorHAnsi" w:hAnsiTheme="minorHAnsi" w:cstheme="minorBidi"/>
                <w:sz w:val="22"/>
                <w:szCs w:val="22"/>
                <w:lang w:eastAsia="en-US"/>
              </w:rPr>
              <w:t>492</w:t>
            </w:r>
          </w:p>
        </w:tc>
        <w:tc>
          <w:tcPr>
            <w:tcW w:w="1149" w:type="dxa"/>
          </w:tcPr>
          <w:p w14:paraId="31317D20" w14:textId="444AC1FF" w:rsidR="00F429DA" w:rsidRPr="00BC7002" w:rsidRDefault="00F429DA" w:rsidP="00F429DA">
            <w:pPr>
              <w:pStyle w:val="Header"/>
              <w:jc w:val="right"/>
              <w:rPr>
                <w:rFonts w:asciiTheme="minorHAnsi" w:hAnsiTheme="minorHAnsi"/>
                <w:sz w:val="22"/>
                <w:szCs w:val="22"/>
              </w:rPr>
            </w:pPr>
            <w:r w:rsidRPr="00BC7002">
              <w:rPr>
                <w:rFonts w:asciiTheme="minorHAnsi" w:hAnsiTheme="minorHAnsi"/>
                <w:sz w:val="22"/>
                <w:szCs w:val="22"/>
              </w:rPr>
              <w:t>3%</w:t>
            </w:r>
          </w:p>
        </w:tc>
        <w:tc>
          <w:tcPr>
            <w:tcW w:w="1359" w:type="dxa"/>
            <w:vAlign w:val="center"/>
          </w:tcPr>
          <w:p w14:paraId="3611995B" w14:textId="7EBCEF33" w:rsidR="00F429DA" w:rsidRPr="00BC7002" w:rsidRDefault="00F429DA" w:rsidP="00F429DA">
            <w:pPr>
              <w:pStyle w:val="Header"/>
              <w:jc w:val="right"/>
              <w:rPr>
                <w:rFonts w:asciiTheme="minorHAnsi" w:hAnsiTheme="minorHAnsi"/>
                <w:sz w:val="22"/>
                <w:szCs w:val="22"/>
                <w:lang w:val="en-GB"/>
              </w:rPr>
            </w:pPr>
            <w:r w:rsidRPr="00BC7002">
              <w:rPr>
                <w:rFonts w:asciiTheme="minorHAnsi" w:eastAsiaTheme="minorHAnsi" w:hAnsiTheme="minorHAnsi" w:cstheme="minorBidi"/>
                <w:sz w:val="22"/>
                <w:szCs w:val="22"/>
                <w:lang w:eastAsia="en-US"/>
              </w:rPr>
              <w:t>$</w:t>
            </w:r>
            <w:r w:rsidRPr="00761890">
              <w:rPr>
                <w:rFonts w:asciiTheme="minorHAnsi" w:eastAsiaTheme="minorHAnsi" w:hAnsiTheme="minorHAnsi" w:cstheme="minorBidi"/>
                <w:sz w:val="22"/>
                <w:szCs w:val="22"/>
                <w:lang w:eastAsia="en-US"/>
              </w:rPr>
              <w:t>12</w:t>
            </w:r>
            <w:r w:rsidRPr="00BC7002">
              <w:rPr>
                <w:rFonts w:asciiTheme="minorHAnsi" w:eastAsiaTheme="minorHAnsi" w:hAnsiTheme="minorHAnsi" w:cstheme="minorBidi"/>
                <w:sz w:val="22"/>
                <w:szCs w:val="22"/>
                <w:lang w:eastAsia="en-US"/>
              </w:rPr>
              <w:t>,</w:t>
            </w:r>
            <w:r w:rsidRPr="00761890">
              <w:rPr>
                <w:rFonts w:asciiTheme="minorHAnsi" w:eastAsiaTheme="minorHAnsi" w:hAnsiTheme="minorHAnsi" w:cstheme="minorBidi"/>
                <w:sz w:val="22"/>
                <w:szCs w:val="22"/>
                <w:lang w:eastAsia="en-US"/>
              </w:rPr>
              <w:t>967</w:t>
            </w:r>
          </w:p>
        </w:tc>
      </w:tr>
      <w:tr w:rsidR="00F429DA" w:rsidRPr="00BC7002" w14:paraId="443491DD" w14:textId="77777777" w:rsidTr="00DB4B93">
        <w:tc>
          <w:tcPr>
            <w:tcW w:w="4026" w:type="dxa"/>
            <w:vAlign w:val="center"/>
          </w:tcPr>
          <w:p w14:paraId="7910EC57" w14:textId="2B81DCC5" w:rsidR="00F429DA" w:rsidRPr="00BC7002" w:rsidRDefault="00F429DA" w:rsidP="00F429DA">
            <w:pPr>
              <w:pStyle w:val="Header"/>
              <w:jc w:val="both"/>
              <w:rPr>
                <w:rFonts w:asciiTheme="minorHAnsi" w:hAnsiTheme="minorHAnsi"/>
                <w:sz w:val="22"/>
                <w:szCs w:val="22"/>
                <w:lang w:val="en-GB"/>
              </w:rPr>
            </w:pPr>
            <w:r w:rsidRPr="00761890">
              <w:rPr>
                <w:rFonts w:asciiTheme="minorHAnsi" w:eastAsiaTheme="minorHAnsi" w:hAnsiTheme="minorHAnsi" w:cstheme="minorBidi"/>
                <w:sz w:val="22"/>
                <w:szCs w:val="22"/>
                <w:lang w:eastAsia="en-US"/>
              </w:rPr>
              <w:t>Development Approvals</w:t>
            </w:r>
          </w:p>
        </w:tc>
        <w:tc>
          <w:tcPr>
            <w:tcW w:w="1450" w:type="dxa"/>
            <w:vAlign w:val="center"/>
          </w:tcPr>
          <w:p w14:paraId="1947AD29" w14:textId="2FFF3228" w:rsidR="00F429DA" w:rsidRPr="00BC7002" w:rsidRDefault="00F429DA" w:rsidP="00F429DA">
            <w:pPr>
              <w:pStyle w:val="Header"/>
              <w:jc w:val="right"/>
              <w:rPr>
                <w:rFonts w:asciiTheme="minorHAnsi" w:hAnsiTheme="minorHAnsi"/>
                <w:sz w:val="22"/>
                <w:szCs w:val="22"/>
                <w:lang w:val="en-GB"/>
              </w:rPr>
            </w:pPr>
            <w:r w:rsidRPr="00BC7002">
              <w:rPr>
                <w:rFonts w:asciiTheme="minorHAnsi" w:eastAsiaTheme="minorHAnsi" w:hAnsiTheme="minorHAnsi" w:cstheme="minorBidi"/>
                <w:sz w:val="22"/>
                <w:szCs w:val="22"/>
                <w:lang w:eastAsia="en-US"/>
              </w:rPr>
              <w:t>$</w:t>
            </w:r>
            <w:r w:rsidRPr="00761890">
              <w:rPr>
                <w:rFonts w:asciiTheme="minorHAnsi" w:eastAsiaTheme="minorHAnsi" w:hAnsiTheme="minorHAnsi" w:cstheme="minorBidi"/>
                <w:sz w:val="22"/>
                <w:szCs w:val="22"/>
                <w:lang w:eastAsia="en-US"/>
              </w:rPr>
              <w:t>48,593</w:t>
            </w:r>
          </w:p>
        </w:tc>
        <w:tc>
          <w:tcPr>
            <w:tcW w:w="1530" w:type="dxa"/>
            <w:vAlign w:val="center"/>
          </w:tcPr>
          <w:p w14:paraId="6DCAB291" w14:textId="6C33F209" w:rsidR="00F429DA" w:rsidRPr="00BC7002" w:rsidRDefault="00F429DA" w:rsidP="00F429DA">
            <w:pPr>
              <w:pStyle w:val="Header"/>
              <w:jc w:val="right"/>
              <w:rPr>
                <w:rFonts w:asciiTheme="minorHAnsi" w:hAnsiTheme="minorHAnsi"/>
                <w:sz w:val="22"/>
                <w:szCs w:val="22"/>
                <w:lang w:val="en-GB"/>
              </w:rPr>
            </w:pPr>
            <w:r w:rsidRPr="00BC7002">
              <w:rPr>
                <w:rFonts w:asciiTheme="minorHAnsi" w:eastAsiaTheme="minorHAnsi" w:hAnsiTheme="minorHAnsi" w:cstheme="minorBidi"/>
                <w:sz w:val="22"/>
                <w:szCs w:val="22"/>
                <w:lang w:eastAsia="en-US"/>
              </w:rPr>
              <w:t>$</w:t>
            </w:r>
            <w:r w:rsidRPr="00761890">
              <w:rPr>
                <w:rFonts w:asciiTheme="minorHAnsi" w:eastAsiaTheme="minorHAnsi" w:hAnsiTheme="minorHAnsi" w:cstheme="minorBidi"/>
                <w:sz w:val="22"/>
                <w:szCs w:val="22"/>
                <w:lang w:eastAsia="en-US"/>
              </w:rPr>
              <w:t>3,485</w:t>
            </w:r>
          </w:p>
        </w:tc>
        <w:tc>
          <w:tcPr>
            <w:tcW w:w="1149" w:type="dxa"/>
          </w:tcPr>
          <w:p w14:paraId="7A6645B1" w14:textId="5E997A3C" w:rsidR="00F429DA" w:rsidRPr="00BC7002" w:rsidRDefault="00F429DA" w:rsidP="00F429DA">
            <w:pPr>
              <w:pStyle w:val="Header"/>
              <w:jc w:val="right"/>
              <w:rPr>
                <w:rFonts w:asciiTheme="minorHAnsi" w:hAnsiTheme="minorHAnsi"/>
                <w:sz w:val="22"/>
                <w:szCs w:val="22"/>
              </w:rPr>
            </w:pPr>
            <w:r w:rsidRPr="00BC7002">
              <w:rPr>
                <w:rFonts w:asciiTheme="minorHAnsi" w:hAnsiTheme="minorHAnsi"/>
                <w:sz w:val="22"/>
                <w:szCs w:val="22"/>
              </w:rPr>
              <w:t>7%</w:t>
            </w:r>
          </w:p>
        </w:tc>
        <w:tc>
          <w:tcPr>
            <w:tcW w:w="1359" w:type="dxa"/>
            <w:vAlign w:val="center"/>
          </w:tcPr>
          <w:p w14:paraId="1431591E" w14:textId="529A095E" w:rsidR="00F429DA" w:rsidRPr="00BC7002" w:rsidRDefault="00F429DA" w:rsidP="00F429DA">
            <w:pPr>
              <w:pStyle w:val="Header"/>
              <w:jc w:val="right"/>
              <w:rPr>
                <w:rFonts w:asciiTheme="minorHAnsi" w:hAnsiTheme="minorHAnsi"/>
                <w:sz w:val="22"/>
                <w:szCs w:val="22"/>
                <w:lang w:val="en-GB"/>
              </w:rPr>
            </w:pPr>
            <w:r w:rsidRPr="00BC7002">
              <w:rPr>
                <w:rFonts w:asciiTheme="minorHAnsi" w:eastAsiaTheme="minorHAnsi" w:hAnsiTheme="minorHAnsi" w:cstheme="minorBidi"/>
                <w:sz w:val="22"/>
                <w:szCs w:val="22"/>
                <w:lang w:eastAsia="en-US"/>
              </w:rPr>
              <w:t>$</w:t>
            </w:r>
            <w:r w:rsidRPr="00761890">
              <w:rPr>
                <w:rFonts w:asciiTheme="minorHAnsi" w:eastAsiaTheme="minorHAnsi" w:hAnsiTheme="minorHAnsi" w:cstheme="minorBidi"/>
                <w:sz w:val="22"/>
                <w:szCs w:val="22"/>
                <w:lang w:eastAsia="en-US"/>
              </w:rPr>
              <w:t>45</w:t>
            </w:r>
            <w:r w:rsidRPr="00BC7002">
              <w:rPr>
                <w:rFonts w:asciiTheme="minorHAnsi" w:eastAsiaTheme="minorHAnsi" w:hAnsiTheme="minorHAnsi" w:cstheme="minorBidi"/>
                <w:sz w:val="22"/>
                <w:szCs w:val="22"/>
                <w:lang w:eastAsia="en-US"/>
              </w:rPr>
              <w:t>,</w:t>
            </w:r>
            <w:r w:rsidRPr="00761890">
              <w:rPr>
                <w:rFonts w:asciiTheme="minorHAnsi" w:eastAsiaTheme="minorHAnsi" w:hAnsiTheme="minorHAnsi" w:cstheme="minorBidi"/>
                <w:sz w:val="22"/>
                <w:szCs w:val="22"/>
                <w:lang w:eastAsia="en-US"/>
              </w:rPr>
              <w:t>108</w:t>
            </w:r>
          </w:p>
        </w:tc>
      </w:tr>
      <w:tr w:rsidR="00F429DA" w:rsidRPr="00BC7002" w14:paraId="10945FC9" w14:textId="77777777" w:rsidTr="00DB4B93">
        <w:tc>
          <w:tcPr>
            <w:tcW w:w="4026" w:type="dxa"/>
            <w:vAlign w:val="center"/>
          </w:tcPr>
          <w:p w14:paraId="2FCCAD71" w14:textId="6855604C" w:rsidR="00F429DA" w:rsidRPr="00BC7002" w:rsidRDefault="00F429DA" w:rsidP="00F429DA">
            <w:pPr>
              <w:pStyle w:val="Header"/>
              <w:jc w:val="both"/>
              <w:rPr>
                <w:rFonts w:asciiTheme="minorHAnsi" w:hAnsiTheme="minorHAnsi"/>
                <w:sz w:val="22"/>
                <w:szCs w:val="22"/>
                <w:lang w:val="en-GB"/>
              </w:rPr>
            </w:pPr>
            <w:r w:rsidRPr="00761890">
              <w:rPr>
                <w:rFonts w:asciiTheme="minorHAnsi" w:eastAsiaTheme="minorHAnsi" w:hAnsiTheme="minorHAnsi" w:cstheme="minorBidi"/>
                <w:sz w:val="22"/>
                <w:szCs w:val="22"/>
                <w:lang w:eastAsia="en-US"/>
              </w:rPr>
              <w:t>Building Permits</w:t>
            </w:r>
          </w:p>
        </w:tc>
        <w:tc>
          <w:tcPr>
            <w:tcW w:w="1450" w:type="dxa"/>
            <w:vAlign w:val="center"/>
          </w:tcPr>
          <w:p w14:paraId="5A269FF1" w14:textId="2E5C3341" w:rsidR="00F429DA" w:rsidRPr="00BC7002" w:rsidRDefault="00F429DA" w:rsidP="00F429DA">
            <w:pPr>
              <w:pStyle w:val="Header"/>
              <w:jc w:val="right"/>
              <w:rPr>
                <w:rFonts w:asciiTheme="minorHAnsi" w:hAnsiTheme="minorHAnsi"/>
                <w:sz w:val="22"/>
                <w:szCs w:val="22"/>
                <w:lang w:val="en-GB"/>
              </w:rPr>
            </w:pPr>
            <w:r w:rsidRPr="00BC7002">
              <w:rPr>
                <w:rFonts w:asciiTheme="minorHAnsi" w:eastAsiaTheme="minorHAnsi" w:hAnsiTheme="minorHAnsi" w:cstheme="minorBidi"/>
                <w:sz w:val="22"/>
                <w:szCs w:val="22"/>
                <w:lang w:eastAsia="en-US"/>
              </w:rPr>
              <w:t>$</w:t>
            </w:r>
            <w:r w:rsidRPr="00761890">
              <w:rPr>
                <w:rFonts w:asciiTheme="minorHAnsi" w:eastAsiaTheme="minorHAnsi" w:hAnsiTheme="minorHAnsi" w:cstheme="minorBidi"/>
                <w:sz w:val="22"/>
                <w:szCs w:val="22"/>
                <w:lang w:eastAsia="en-US"/>
              </w:rPr>
              <w:t>59,969</w:t>
            </w:r>
          </w:p>
        </w:tc>
        <w:tc>
          <w:tcPr>
            <w:tcW w:w="1530" w:type="dxa"/>
            <w:vAlign w:val="center"/>
          </w:tcPr>
          <w:p w14:paraId="16D2BCDE" w14:textId="222710D1" w:rsidR="00F429DA" w:rsidRPr="00BC7002" w:rsidRDefault="00F429DA" w:rsidP="00F429DA">
            <w:pPr>
              <w:pStyle w:val="Header"/>
              <w:jc w:val="right"/>
              <w:rPr>
                <w:rFonts w:asciiTheme="minorHAnsi" w:hAnsiTheme="minorHAnsi"/>
                <w:sz w:val="22"/>
                <w:szCs w:val="22"/>
                <w:lang w:val="en-GB"/>
              </w:rPr>
            </w:pPr>
            <w:r w:rsidRPr="00BC7002">
              <w:rPr>
                <w:rFonts w:asciiTheme="minorHAnsi" w:eastAsiaTheme="minorHAnsi" w:hAnsiTheme="minorHAnsi" w:cstheme="minorBidi"/>
                <w:sz w:val="22"/>
                <w:szCs w:val="22"/>
                <w:lang w:eastAsia="en-US"/>
              </w:rPr>
              <w:t>$</w:t>
            </w:r>
            <w:r w:rsidRPr="00761890">
              <w:rPr>
                <w:rFonts w:asciiTheme="minorHAnsi" w:eastAsiaTheme="minorHAnsi" w:hAnsiTheme="minorHAnsi" w:cstheme="minorBidi"/>
                <w:sz w:val="22"/>
                <w:szCs w:val="22"/>
                <w:lang w:eastAsia="en-US"/>
              </w:rPr>
              <w:t>4,792</w:t>
            </w:r>
          </w:p>
        </w:tc>
        <w:tc>
          <w:tcPr>
            <w:tcW w:w="1149" w:type="dxa"/>
          </w:tcPr>
          <w:p w14:paraId="6E4C2E35" w14:textId="4DD7009F" w:rsidR="00F429DA" w:rsidRPr="00BC7002" w:rsidRDefault="00F429DA" w:rsidP="00F429DA">
            <w:pPr>
              <w:pStyle w:val="Header"/>
              <w:jc w:val="right"/>
              <w:rPr>
                <w:rFonts w:asciiTheme="minorHAnsi" w:hAnsiTheme="minorHAnsi"/>
                <w:sz w:val="22"/>
                <w:szCs w:val="22"/>
              </w:rPr>
            </w:pPr>
            <w:r w:rsidRPr="00BC7002">
              <w:rPr>
                <w:rFonts w:asciiTheme="minorHAnsi" w:hAnsiTheme="minorHAnsi"/>
                <w:sz w:val="22"/>
                <w:szCs w:val="22"/>
              </w:rPr>
              <w:t>8%</w:t>
            </w:r>
          </w:p>
        </w:tc>
        <w:tc>
          <w:tcPr>
            <w:tcW w:w="1359" w:type="dxa"/>
            <w:vAlign w:val="center"/>
          </w:tcPr>
          <w:p w14:paraId="2DA43BBC" w14:textId="408CA2BE" w:rsidR="00F429DA" w:rsidRPr="00BC7002" w:rsidRDefault="00F429DA" w:rsidP="00F429DA">
            <w:pPr>
              <w:pStyle w:val="Header"/>
              <w:jc w:val="right"/>
              <w:rPr>
                <w:rFonts w:asciiTheme="minorHAnsi" w:hAnsiTheme="minorHAnsi"/>
                <w:sz w:val="22"/>
                <w:szCs w:val="22"/>
                <w:lang w:val="en-GB"/>
              </w:rPr>
            </w:pPr>
            <w:r w:rsidRPr="00BC7002">
              <w:rPr>
                <w:rFonts w:asciiTheme="minorHAnsi" w:eastAsiaTheme="minorHAnsi" w:hAnsiTheme="minorHAnsi" w:cstheme="minorBidi"/>
                <w:sz w:val="22"/>
                <w:szCs w:val="22"/>
                <w:lang w:eastAsia="en-US"/>
              </w:rPr>
              <w:t>$</w:t>
            </w:r>
            <w:r w:rsidRPr="00761890">
              <w:rPr>
                <w:rFonts w:asciiTheme="minorHAnsi" w:eastAsiaTheme="minorHAnsi" w:hAnsiTheme="minorHAnsi" w:cstheme="minorBidi"/>
                <w:sz w:val="22"/>
                <w:szCs w:val="22"/>
                <w:lang w:eastAsia="en-US"/>
              </w:rPr>
              <w:t>55</w:t>
            </w:r>
            <w:r w:rsidRPr="00BC7002">
              <w:rPr>
                <w:rFonts w:asciiTheme="minorHAnsi" w:eastAsiaTheme="minorHAnsi" w:hAnsiTheme="minorHAnsi" w:cstheme="minorBidi"/>
                <w:sz w:val="22"/>
                <w:szCs w:val="22"/>
                <w:lang w:eastAsia="en-US"/>
              </w:rPr>
              <w:t>,</w:t>
            </w:r>
            <w:r w:rsidRPr="00761890">
              <w:rPr>
                <w:rFonts w:asciiTheme="minorHAnsi" w:eastAsiaTheme="minorHAnsi" w:hAnsiTheme="minorHAnsi" w:cstheme="minorBidi"/>
                <w:sz w:val="22"/>
                <w:szCs w:val="22"/>
                <w:lang w:eastAsia="en-US"/>
              </w:rPr>
              <w:t>177</w:t>
            </w:r>
          </w:p>
        </w:tc>
      </w:tr>
      <w:tr w:rsidR="00F429DA" w:rsidRPr="00BC7002" w14:paraId="4C869E34" w14:textId="77777777" w:rsidTr="00DB4B93">
        <w:tc>
          <w:tcPr>
            <w:tcW w:w="4026" w:type="dxa"/>
            <w:vAlign w:val="center"/>
          </w:tcPr>
          <w:p w14:paraId="7AB90602" w14:textId="1E83D1DB" w:rsidR="00F429DA" w:rsidRPr="00BC7002" w:rsidRDefault="00F429DA" w:rsidP="00F429DA">
            <w:pPr>
              <w:pStyle w:val="Header"/>
              <w:jc w:val="both"/>
              <w:rPr>
                <w:rFonts w:asciiTheme="minorHAnsi" w:hAnsiTheme="minorHAnsi"/>
                <w:sz w:val="22"/>
                <w:szCs w:val="22"/>
                <w:lang w:val="en-GB"/>
              </w:rPr>
            </w:pPr>
            <w:r w:rsidRPr="00761890">
              <w:rPr>
                <w:rFonts w:asciiTheme="minorHAnsi" w:eastAsiaTheme="minorHAnsi" w:hAnsiTheme="minorHAnsi" w:cstheme="minorBidi"/>
                <w:sz w:val="22"/>
                <w:szCs w:val="22"/>
                <w:lang w:eastAsia="en-US"/>
              </w:rPr>
              <w:t>Health Fees</w:t>
            </w:r>
          </w:p>
        </w:tc>
        <w:tc>
          <w:tcPr>
            <w:tcW w:w="1450" w:type="dxa"/>
            <w:vAlign w:val="center"/>
          </w:tcPr>
          <w:p w14:paraId="27288785" w14:textId="42166EF6" w:rsidR="00F429DA" w:rsidRPr="00BC7002" w:rsidRDefault="00F429DA" w:rsidP="00F429DA">
            <w:pPr>
              <w:pStyle w:val="Header"/>
              <w:jc w:val="right"/>
              <w:rPr>
                <w:rFonts w:asciiTheme="minorHAnsi" w:hAnsiTheme="minorHAnsi"/>
                <w:sz w:val="22"/>
                <w:szCs w:val="22"/>
                <w:lang w:val="en-GB"/>
              </w:rPr>
            </w:pPr>
            <w:r w:rsidRPr="00BC7002">
              <w:rPr>
                <w:rFonts w:asciiTheme="minorHAnsi" w:eastAsiaTheme="minorHAnsi" w:hAnsiTheme="minorHAnsi" w:cstheme="minorBidi"/>
                <w:sz w:val="22"/>
                <w:szCs w:val="22"/>
                <w:lang w:eastAsia="en-US"/>
              </w:rPr>
              <w:t>$</w:t>
            </w:r>
            <w:r w:rsidRPr="00761890">
              <w:rPr>
                <w:rFonts w:asciiTheme="minorHAnsi" w:eastAsiaTheme="minorHAnsi" w:hAnsiTheme="minorHAnsi" w:cstheme="minorBidi"/>
                <w:sz w:val="22"/>
                <w:szCs w:val="22"/>
                <w:lang w:eastAsia="en-US"/>
              </w:rPr>
              <w:t>18,393</w:t>
            </w:r>
          </w:p>
        </w:tc>
        <w:tc>
          <w:tcPr>
            <w:tcW w:w="1530" w:type="dxa"/>
            <w:vAlign w:val="center"/>
          </w:tcPr>
          <w:p w14:paraId="58E3B87B" w14:textId="71ABBA3E" w:rsidR="00F429DA" w:rsidRPr="00BC7002" w:rsidRDefault="00F429DA" w:rsidP="00F429DA">
            <w:pPr>
              <w:pStyle w:val="Header"/>
              <w:jc w:val="right"/>
              <w:rPr>
                <w:rFonts w:asciiTheme="minorHAnsi" w:hAnsiTheme="minorHAnsi"/>
                <w:sz w:val="22"/>
                <w:szCs w:val="22"/>
                <w:lang w:val="en-GB"/>
              </w:rPr>
            </w:pPr>
            <w:r w:rsidRPr="00BC7002">
              <w:rPr>
                <w:rFonts w:asciiTheme="minorHAnsi" w:eastAsiaTheme="minorHAnsi" w:hAnsiTheme="minorHAnsi" w:cstheme="minorBidi"/>
                <w:sz w:val="22"/>
                <w:szCs w:val="22"/>
                <w:lang w:eastAsia="en-US"/>
              </w:rPr>
              <w:t>$</w:t>
            </w:r>
            <w:r w:rsidRPr="00761890">
              <w:rPr>
                <w:rFonts w:asciiTheme="minorHAnsi" w:eastAsiaTheme="minorHAnsi" w:hAnsiTheme="minorHAnsi" w:cstheme="minorBidi"/>
                <w:sz w:val="22"/>
                <w:szCs w:val="22"/>
                <w:lang w:eastAsia="en-US"/>
              </w:rPr>
              <w:t>1,750</w:t>
            </w:r>
          </w:p>
        </w:tc>
        <w:tc>
          <w:tcPr>
            <w:tcW w:w="1149" w:type="dxa"/>
          </w:tcPr>
          <w:p w14:paraId="3799616D" w14:textId="4488E0DF" w:rsidR="00F429DA" w:rsidRPr="00BC7002" w:rsidRDefault="00F429DA" w:rsidP="00F429DA">
            <w:pPr>
              <w:pStyle w:val="Header"/>
              <w:jc w:val="right"/>
              <w:rPr>
                <w:rFonts w:asciiTheme="minorHAnsi" w:hAnsiTheme="minorHAnsi"/>
                <w:sz w:val="22"/>
                <w:szCs w:val="22"/>
              </w:rPr>
            </w:pPr>
            <w:r w:rsidRPr="00BC7002">
              <w:rPr>
                <w:rFonts w:asciiTheme="minorHAnsi" w:hAnsiTheme="minorHAnsi"/>
                <w:sz w:val="22"/>
                <w:szCs w:val="22"/>
              </w:rPr>
              <w:t>9%</w:t>
            </w:r>
          </w:p>
        </w:tc>
        <w:tc>
          <w:tcPr>
            <w:tcW w:w="1359" w:type="dxa"/>
            <w:vAlign w:val="center"/>
          </w:tcPr>
          <w:p w14:paraId="3329253F" w14:textId="7B95A9A0" w:rsidR="00F429DA" w:rsidRPr="00BC7002" w:rsidRDefault="00F429DA" w:rsidP="00F429DA">
            <w:pPr>
              <w:pStyle w:val="Header"/>
              <w:jc w:val="right"/>
              <w:rPr>
                <w:rFonts w:asciiTheme="minorHAnsi" w:hAnsiTheme="minorHAnsi"/>
                <w:sz w:val="22"/>
                <w:szCs w:val="22"/>
                <w:lang w:val="en-GB"/>
              </w:rPr>
            </w:pPr>
            <w:r w:rsidRPr="00BC7002">
              <w:rPr>
                <w:rFonts w:asciiTheme="minorHAnsi" w:eastAsiaTheme="minorHAnsi" w:hAnsiTheme="minorHAnsi" w:cstheme="minorBidi"/>
                <w:sz w:val="22"/>
                <w:szCs w:val="22"/>
                <w:lang w:eastAsia="en-US"/>
              </w:rPr>
              <w:t>$</w:t>
            </w:r>
            <w:r w:rsidRPr="00761890">
              <w:rPr>
                <w:rFonts w:asciiTheme="minorHAnsi" w:eastAsiaTheme="minorHAnsi" w:hAnsiTheme="minorHAnsi" w:cstheme="minorBidi"/>
                <w:sz w:val="22"/>
                <w:szCs w:val="22"/>
                <w:lang w:eastAsia="en-US"/>
              </w:rPr>
              <w:t>16</w:t>
            </w:r>
            <w:r w:rsidRPr="00BC7002">
              <w:rPr>
                <w:rFonts w:asciiTheme="minorHAnsi" w:eastAsiaTheme="minorHAnsi" w:hAnsiTheme="minorHAnsi" w:cstheme="minorBidi"/>
                <w:sz w:val="22"/>
                <w:szCs w:val="22"/>
                <w:lang w:eastAsia="en-US"/>
              </w:rPr>
              <w:t>,</w:t>
            </w:r>
            <w:r w:rsidRPr="00761890">
              <w:rPr>
                <w:rFonts w:asciiTheme="minorHAnsi" w:eastAsiaTheme="minorHAnsi" w:hAnsiTheme="minorHAnsi" w:cstheme="minorBidi"/>
                <w:sz w:val="22"/>
                <w:szCs w:val="22"/>
                <w:lang w:eastAsia="en-US"/>
              </w:rPr>
              <w:t>643</w:t>
            </w:r>
          </w:p>
        </w:tc>
      </w:tr>
      <w:tr w:rsidR="00F429DA" w:rsidRPr="00BC7002" w14:paraId="2837726D" w14:textId="77777777" w:rsidTr="00DB4B93">
        <w:tc>
          <w:tcPr>
            <w:tcW w:w="4026" w:type="dxa"/>
            <w:tcBorders>
              <w:bottom w:val="single" w:sz="4" w:space="0" w:color="auto"/>
            </w:tcBorders>
            <w:vAlign w:val="center"/>
          </w:tcPr>
          <w:p w14:paraId="0CFD5F24" w14:textId="0BE6A577" w:rsidR="00F429DA" w:rsidRPr="00BC7002" w:rsidRDefault="00F429DA" w:rsidP="00F429DA">
            <w:pPr>
              <w:pStyle w:val="Header"/>
              <w:jc w:val="both"/>
              <w:rPr>
                <w:rFonts w:asciiTheme="minorHAnsi" w:hAnsiTheme="minorHAnsi"/>
                <w:sz w:val="22"/>
                <w:szCs w:val="22"/>
                <w:lang w:val="en-GB"/>
              </w:rPr>
            </w:pPr>
            <w:r w:rsidRPr="00761890">
              <w:rPr>
                <w:rFonts w:asciiTheme="minorHAnsi" w:eastAsiaTheme="minorHAnsi" w:hAnsiTheme="minorHAnsi" w:cstheme="minorBidi"/>
                <w:sz w:val="22"/>
                <w:szCs w:val="22"/>
                <w:lang w:eastAsia="en-US"/>
              </w:rPr>
              <w:t xml:space="preserve">Vehicle licencing </w:t>
            </w:r>
          </w:p>
        </w:tc>
        <w:tc>
          <w:tcPr>
            <w:tcW w:w="1450" w:type="dxa"/>
            <w:tcBorders>
              <w:bottom w:val="single" w:sz="4" w:space="0" w:color="auto"/>
            </w:tcBorders>
            <w:vAlign w:val="center"/>
          </w:tcPr>
          <w:p w14:paraId="6F37A06C" w14:textId="2A6688EB" w:rsidR="00F429DA" w:rsidRPr="00BC7002" w:rsidRDefault="00F429DA" w:rsidP="00F429DA">
            <w:pPr>
              <w:pStyle w:val="Header"/>
              <w:jc w:val="right"/>
              <w:rPr>
                <w:rFonts w:asciiTheme="minorHAnsi" w:hAnsiTheme="minorHAnsi"/>
                <w:sz w:val="22"/>
                <w:szCs w:val="22"/>
                <w:lang w:val="en-GB"/>
              </w:rPr>
            </w:pPr>
            <w:r w:rsidRPr="00BC7002">
              <w:rPr>
                <w:rFonts w:asciiTheme="minorHAnsi" w:eastAsiaTheme="minorHAnsi" w:hAnsiTheme="minorHAnsi" w:cstheme="minorBidi"/>
                <w:sz w:val="22"/>
                <w:szCs w:val="22"/>
                <w:lang w:eastAsia="en-US"/>
              </w:rPr>
              <w:t>$</w:t>
            </w:r>
            <w:r w:rsidRPr="00761890">
              <w:rPr>
                <w:rFonts w:asciiTheme="minorHAnsi" w:eastAsiaTheme="minorHAnsi" w:hAnsiTheme="minorHAnsi" w:cstheme="minorBidi"/>
                <w:sz w:val="22"/>
                <w:szCs w:val="22"/>
                <w:lang w:eastAsia="en-US"/>
              </w:rPr>
              <w:t>124,545</w:t>
            </w:r>
          </w:p>
        </w:tc>
        <w:tc>
          <w:tcPr>
            <w:tcW w:w="1530" w:type="dxa"/>
            <w:tcBorders>
              <w:bottom w:val="single" w:sz="4" w:space="0" w:color="auto"/>
            </w:tcBorders>
            <w:vAlign w:val="center"/>
          </w:tcPr>
          <w:p w14:paraId="44123FDA" w14:textId="3A9F6C2C" w:rsidR="00F429DA" w:rsidRPr="00BC7002" w:rsidRDefault="00F429DA" w:rsidP="00F429DA">
            <w:pPr>
              <w:pStyle w:val="Header"/>
              <w:jc w:val="right"/>
              <w:rPr>
                <w:rFonts w:asciiTheme="minorHAnsi" w:hAnsiTheme="minorHAnsi"/>
                <w:sz w:val="22"/>
                <w:szCs w:val="22"/>
                <w:lang w:val="en-GB"/>
              </w:rPr>
            </w:pPr>
            <w:r w:rsidRPr="00BC7002">
              <w:rPr>
                <w:rFonts w:asciiTheme="minorHAnsi" w:eastAsiaTheme="minorHAnsi" w:hAnsiTheme="minorHAnsi" w:cstheme="minorBidi"/>
                <w:sz w:val="22"/>
                <w:szCs w:val="22"/>
                <w:lang w:eastAsia="en-US"/>
              </w:rPr>
              <w:t>$</w:t>
            </w:r>
            <w:r w:rsidRPr="00761890">
              <w:rPr>
                <w:rFonts w:asciiTheme="minorHAnsi" w:eastAsiaTheme="minorHAnsi" w:hAnsiTheme="minorHAnsi" w:cstheme="minorBidi"/>
                <w:sz w:val="22"/>
                <w:szCs w:val="22"/>
                <w:lang w:eastAsia="en-US"/>
              </w:rPr>
              <w:t>19,312</w:t>
            </w:r>
          </w:p>
        </w:tc>
        <w:tc>
          <w:tcPr>
            <w:tcW w:w="1149" w:type="dxa"/>
            <w:tcBorders>
              <w:bottom w:val="single" w:sz="4" w:space="0" w:color="auto"/>
            </w:tcBorders>
          </w:tcPr>
          <w:p w14:paraId="0C03DEA4" w14:textId="63EB7E4B" w:rsidR="00F429DA" w:rsidRPr="00BC7002" w:rsidRDefault="00F429DA" w:rsidP="00F429DA">
            <w:pPr>
              <w:pStyle w:val="Header"/>
              <w:jc w:val="right"/>
              <w:rPr>
                <w:rFonts w:asciiTheme="minorHAnsi" w:hAnsiTheme="minorHAnsi"/>
                <w:sz w:val="22"/>
                <w:szCs w:val="22"/>
              </w:rPr>
            </w:pPr>
            <w:r w:rsidRPr="00BC7002">
              <w:rPr>
                <w:rFonts w:asciiTheme="minorHAnsi" w:hAnsiTheme="minorHAnsi"/>
                <w:sz w:val="22"/>
                <w:szCs w:val="22"/>
              </w:rPr>
              <w:t>15%</w:t>
            </w:r>
          </w:p>
        </w:tc>
        <w:tc>
          <w:tcPr>
            <w:tcW w:w="1359" w:type="dxa"/>
            <w:tcBorders>
              <w:bottom w:val="single" w:sz="4" w:space="0" w:color="auto"/>
            </w:tcBorders>
            <w:vAlign w:val="center"/>
          </w:tcPr>
          <w:p w14:paraId="0B286856" w14:textId="123B67A5" w:rsidR="00F429DA" w:rsidRPr="00BC7002" w:rsidRDefault="00F429DA" w:rsidP="00F429DA">
            <w:pPr>
              <w:pStyle w:val="Header"/>
              <w:jc w:val="right"/>
              <w:rPr>
                <w:rFonts w:asciiTheme="minorHAnsi" w:hAnsiTheme="minorHAnsi"/>
                <w:sz w:val="22"/>
                <w:szCs w:val="22"/>
                <w:lang w:val="en-GB"/>
              </w:rPr>
            </w:pPr>
            <w:r w:rsidRPr="00BC7002">
              <w:rPr>
                <w:rFonts w:asciiTheme="minorHAnsi" w:eastAsiaTheme="minorHAnsi" w:hAnsiTheme="minorHAnsi" w:cstheme="minorBidi"/>
                <w:sz w:val="22"/>
                <w:szCs w:val="22"/>
                <w:lang w:eastAsia="en-US"/>
              </w:rPr>
              <w:t>$</w:t>
            </w:r>
            <w:r w:rsidRPr="00761890">
              <w:rPr>
                <w:rFonts w:asciiTheme="minorHAnsi" w:eastAsiaTheme="minorHAnsi" w:hAnsiTheme="minorHAnsi" w:cstheme="minorBidi"/>
                <w:sz w:val="22"/>
                <w:szCs w:val="22"/>
                <w:lang w:eastAsia="en-US"/>
              </w:rPr>
              <w:t>105</w:t>
            </w:r>
            <w:r w:rsidRPr="00BC7002">
              <w:rPr>
                <w:rFonts w:asciiTheme="minorHAnsi" w:eastAsiaTheme="minorHAnsi" w:hAnsiTheme="minorHAnsi" w:cstheme="minorBidi"/>
                <w:sz w:val="22"/>
                <w:szCs w:val="22"/>
                <w:lang w:eastAsia="en-US"/>
              </w:rPr>
              <w:t>,</w:t>
            </w:r>
            <w:r w:rsidRPr="00761890">
              <w:rPr>
                <w:rFonts w:asciiTheme="minorHAnsi" w:eastAsiaTheme="minorHAnsi" w:hAnsiTheme="minorHAnsi" w:cstheme="minorBidi"/>
                <w:sz w:val="22"/>
                <w:szCs w:val="22"/>
                <w:lang w:eastAsia="en-US"/>
              </w:rPr>
              <w:t>233</w:t>
            </w:r>
          </w:p>
        </w:tc>
      </w:tr>
      <w:tr w:rsidR="00DB4B93" w:rsidRPr="00BC7002" w14:paraId="3543C4EB" w14:textId="77777777" w:rsidTr="00DB4B93">
        <w:tc>
          <w:tcPr>
            <w:tcW w:w="4026" w:type="dxa"/>
            <w:tcBorders>
              <w:top w:val="single" w:sz="4" w:space="0" w:color="auto"/>
              <w:bottom w:val="single" w:sz="4" w:space="0" w:color="auto"/>
            </w:tcBorders>
            <w:vAlign w:val="center"/>
          </w:tcPr>
          <w:p w14:paraId="50D523A5" w14:textId="45E72409" w:rsidR="00DB4B93" w:rsidRPr="00BC7002" w:rsidRDefault="00DB4B93" w:rsidP="00DB4B93">
            <w:pPr>
              <w:pStyle w:val="Header"/>
              <w:jc w:val="right"/>
              <w:rPr>
                <w:rFonts w:asciiTheme="minorHAnsi" w:hAnsiTheme="minorHAnsi"/>
                <w:b/>
                <w:bCs/>
                <w:sz w:val="22"/>
                <w:szCs w:val="22"/>
              </w:rPr>
            </w:pPr>
            <w:r w:rsidRPr="00BC7002">
              <w:rPr>
                <w:rFonts w:asciiTheme="minorHAnsi" w:hAnsiTheme="minorHAnsi"/>
                <w:b/>
                <w:bCs/>
                <w:sz w:val="22"/>
                <w:szCs w:val="22"/>
              </w:rPr>
              <w:t>Total</w:t>
            </w:r>
          </w:p>
        </w:tc>
        <w:tc>
          <w:tcPr>
            <w:tcW w:w="1450" w:type="dxa"/>
            <w:tcBorders>
              <w:top w:val="single" w:sz="4" w:space="0" w:color="auto"/>
              <w:bottom w:val="single" w:sz="4" w:space="0" w:color="auto"/>
            </w:tcBorders>
          </w:tcPr>
          <w:p w14:paraId="1BC54038" w14:textId="5F619172" w:rsidR="00DB4B93" w:rsidRPr="00BC7002" w:rsidRDefault="00DB4B93" w:rsidP="00DB4B93">
            <w:pPr>
              <w:pStyle w:val="Header"/>
              <w:jc w:val="right"/>
              <w:rPr>
                <w:rFonts w:asciiTheme="minorHAnsi" w:hAnsiTheme="minorHAnsi"/>
                <w:b/>
                <w:bCs/>
                <w:sz w:val="22"/>
                <w:szCs w:val="22"/>
              </w:rPr>
            </w:pPr>
            <w:r w:rsidRPr="00BC7002">
              <w:rPr>
                <w:rFonts w:asciiTheme="minorHAnsi" w:hAnsiTheme="minorHAnsi"/>
                <w:b/>
                <w:bCs/>
                <w:sz w:val="22"/>
                <w:szCs w:val="22"/>
              </w:rPr>
              <w:t>$278,418</w:t>
            </w:r>
          </w:p>
        </w:tc>
        <w:tc>
          <w:tcPr>
            <w:tcW w:w="1530" w:type="dxa"/>
            <w:tcBorders>
              <w:top w:val="single" w:sz="4" w:space="0" w:color="auto"/>
              <w:bottom w:val="single" w:sz="4" w:space="0" w:color="auto"/>
            </w:tcBorders>
          </w:tcPr>
          <w:p w14:paraId="793D5E8F" w14:textId="3D15AB77" w:rsidR="00DB4B93" w:rsidRPr="00BC7002" w:rsidRDefault="00DB4B93" w:rsidP="00DB4B93">
            <w:pPr>
              <w:pStyle w:val="Header"/>
              <w:jc w:val="right"/>
              <w:rPr>
                <w:rFonts w:asciiTheme="minorHAnsi" w:hAnsiTheme="minorHAnsi"/>
                <w:b/>
                <w:bCs/>
                <w:sz w:val="22"/>
                <w:szCs w:val="22"/>
              </w:rPr>
            </w:pPr>
            <w:r w:rsidRPr="00BC7002">
              <w:rPr>
                <w:rFonts w:asciiTheme="minorHAnsi" w:hAnsiTheme="minorHAnsi"/>
                <w:b/>
                <w:bCs/>
                <w:sz w:val="22"/>
                <w:szCs w:val="22"/>
              </w:rPr>
              <w:t>$33,179</w:t>
            </w:r>
          </w:p>
        </w:tc>
        <w:tc>
          <w:tcPr>
            <w:tcW w:w="1149" w:type="dxa"/>
            <w:tcBorders>
              <w:top w:val="single" w:sz="4" w:space="0" w:color="auto"/>
              <w:bottom w:val="single" w:sz="4" w:space="0" w:color="auto"/>
            </w:tcBorders>
          </w:tcPr>
          <w:p w14:paraId="6B49CCCF" w14:textId="17BFB63A" w:rsidR="00DB4B93" w:rsidRPr="00BC7002" w:rsidRDefault="00DB4B93" w:rsidP="00DB4B93">
            <w:pPr>
              <w:pStyle w:val="Header"/>
              <w:jc w:val="right"/>
              <w:rPr>
                <w:rFonts w:asciiTheme="minorHAnsi" w:hAnsiTheme="minorHAnsi"/>
                <w:b/>
                <w:bCs/>
                <w:sz w:val="22"/>
                <w:szCs w:val="22"/>
              </w:rPr>
            </w:pPr>
            <w:r w:rsidRPr="00BC7002">
              <w:rPr>
                <w:rFonts w:asciiTheme="minorHAnsi" w:hAnsiTheme="minorHAnsi"/>
                <w:b/>
                <w:bCs/>
                <w:sz w:val="22"/>
                <w:szCs w:val="22"/>
              </w:rPr>
              <w:t>11.9%</w:t>
            </w:r>
          </w:p>
        </w:tc>
        <w:tc>
          <w:tcPr>
            <w:tcW w:w="1359" w:type="dxa"/>
            <w:tcBorders>
              <w:top w:val="single" w:sz="4" w:space="0" w:color="auto"/>
              <w:bottom w:val="single" w:sz="4" w:space="0" w:color="auto"/>
            </w:tcBorders>
          </w:tcPr>
          <w:p w14:paraId="42619952" w14:textId="035FD80A" w:rsidR="00DB4B93" w:rsidRPr="00BC7002" w:rsidRDefault="00DB4B93" w:rsidP="00DB4B93">
            <w:pPr>
              <w:pStyle w:val="Header"/>
              <w:jc w:val="right"/>
              <w:rPr>
                <w:rFonts w:asciiTheme="minorHAnsi" w:hAnsiTheme="minorHAnsi"/>
                <w:b/>
                <w:bCs/>
                <w:sz w:val="22"/>
                <w:szCs w:val="22"/>
              </w:rPr>
            </w:pPr>
            <w:r w:rsidRPr="00BC7002">
              <w:rPr>
                <w:rFonts w:asciiTheme="minorHAnsi" w:hAnsiTheme="minorHAnsi"/>
                <w:b/>
                <w:bCs/>
                <w:sz w:val="22"/>
                <w:szCs w:val="22"/>
              </w:rPr>
              <w:t>$245,239</w:t>
            </w:r>
          </w:p>
        </w:tc>
      </w:tr>
    </w:tbl>
    <w:p w14:paraId="204DC6A1" w14:textId="77777777" w:rsidR="00761890" w:rsidRDefault="00761890" w:rsidP="00761890">
      <w:pPr>
        <w:pStyle w:val="Header"/>
        <w:jc w:val="both"/>
        <w:rPr>
          <w:lang w:val="en-GB"/>
        </w:rPr>
      </w:pPr>
    </w:p>
    <w:p w14:paraId="4C98560F" w14:textId="2CFB428F" w:rsidR="00761890" w:rsidRDefault="00DB4B93" w:rsidP="00761890">
      <w:pPr>
        <w:pStyle w:val="Header"/>
        <w:jc w:val="both"/>
        <w:rPr>
          <w:lang w:val="en-GB"/>
        </w:rPr>
      </w:pPr>
      <w:r>
        <w:rPr>
          <w:lang w:val="en-GB"/>
        </w:rPr>
        <w:t xml:space="preserve">Beyond the provision of statutory services, various other legislation requires local government to carry out certain processes, often in a prescribed manner. While many of these requirements are reasonable and to be expected for good governance, many others either are </w:t>
      </w:r>
      <w:r w:rsidR="009D5A9A">
        <w:rPr>
          <w:lang w:val="en-GB"/>
        </w:rPr>
        <w:t>onerous</w:t>
      </w:r>
      <w:r>
        <w:rPr>
          <w:lang w:val="en-GB"/>
        </w:rPr>
        <w:t xml:space="preserve"> and </w:t>
      </w:r>
      <w:r w:rsidR="009D5A9A">
        <w:rPr>
          <w:lang w:val="en-GB"/>
        </w:rPr>
        <w:t>escalating</w:t>
      </w:r>
      <w:r>
        <w:rPr>
          <w:lang w:val="en-GB"/>
        </w:rPr>
        <w:t xml:space="preserve"> </w:t>
      </w:r>
      <w:r>
        <w:rPr>
          <w:lang w:val="en-GB"/>
        </w:rPr>
        <w:lastRenderedPageBreak/>
        <w:t xml:space="preserve">or simply excessive. </w:t>
      </w:r>
      <w:r w:rsidR="001C363A">
        <w:rPr>
          <w:lang w:val="en-GB"/>
        </w:rPr>
        <w:t xml:space="preserve">These add up to </w:t>
      </w:r>
      <w:r w:rsidR="001C363A" w:rsidRPr="001C363A">
        <w:rPr>
          <w:lang w:val="en-GB"/>
        </w:rPr>
        <w:t>$380,399</w:t>
      </w:r>
      <w:r w:rsidR="001C363A">
        <w:rPr>
          <w:lang w:val="en-GB"/>
        </w:rPr>
        <w:t xml:space="preserve"> or 16% </w:t>
      </w:r>
      <w:r w:rsidR="001C363A">
        <w:rPr>
          <w:lang w:val="en-GB"/>
        </w:rPr>
        <w:t xml:space="preserve">of the annual rate income </w:t>
      </w:r>
      <w:r w:rsidR="001C363A">
        <w:rPr>
          <w:lang w:val="en-GB"/>
        </w:rPr>
        <w:t xml:space="preserve">and are detailed below: </w:t>
      </w:r>
    </w:p>
    <w:p w14:paraId="3CF86B0B" w14:textId="77777777" w:rsidR="009D5A9A" w:rsidRDefault="009D5A9A" w:rsidP="00761890">
      <w:pPr>
        <w:pStyle w:val="Header"/>
        <w:jc w:val="both"/>
        <w:rPr>
          <w:lang w:val="en-GB"/>
        </w:rPr>
      </w:pPr>
    </w:p>
    <w:tbl>
      <w:tblPr>
        <w:tblStyle w:val="TableGrid"/>
        <w:tblW w:w="0" w:type="auto"/>
        <w:tblLook w:val="04A0" w:firstRow="1" w:lastRow="0" w:firstColumn="1" w:lastColumn="0" w:noHBand="0" w:noVBand="1"/>
      </w:tblPr>
      <w:tblGrid>
        <w:gridCol w:w="2784"/>
        <w:gridCol w:w="5262"/>
        <w:gridCol w:w="1478"/>
      </w:tblGrid>
      <w:tr w:rsidR="00216D45" w:rsidRPr="00BC7002" w14:paraId="1DD08DC5" w14:textId="77777777" w:rsidTr="00BC7002">
        <w:tc>
          <w:tcPr>
            <w:tcW w:w="9524" w:type="dxa"/>
            <w:gridSpan w:val="3"/>
            <w:tcBorders>
              <w:top w:val="nil"/>
              <w:left w:val="nil"/>
              <w:bottom w:val="single" w:sz="4" w:space="0" w:color="auto"/>
              <w:right w:val="nil"/>
            </w:tcBorders>
          </w:tcPr>
          <w:p w14:paraId="06705098" w14:textId="4D169A68" w:rsidR="00216D45" w:rsidRPr="00091AE1" w:rsidRDefault="00216D45" w:rsidP="00216D45">
            <w:pPr>
              <w:pStyle w:val="Header"/>
              <w:jc w:val="center"/>
              <w:rPr>
                <w:rFonts w:asciiTheme="minorHAnsi" w:hAnsiTheme="minorHAnsi"/>
                <w:b/>
                <w:bCs/>
                <w:sz w:val="22"/>
                <w:szCs w:val="22"/>
                <w:lang w:val="en-GB"/>
              </w:rPr>
            </w:pPr>
            <w:r w:rsidRPr="00091AE1">
              <w:rPr>
                <w:rFonts w:asciiTheme="minorHAnsi" w:hAnsiTheme="minorHAnsi"/>
                <w:b/>
                <w:bCs/>
                <w:sz w:val="22"/>
                <w:szCs w:val="22"/>
                <w:lang w:val="en-GB"/>
              </w:rPr>
              <w:t>Compliance Requirements</w:t>
            </w:r>
            <w:r w:rsidRPr="00091AE1">
              <w:rPr>
                <w:rFonts w:asciiTheme="minorHAnsi" w:hAnsiTheme="minorHAnsi"/>
                <w:b/>
                <w:bCs/>
                <w:sz w:val="22"/>
                <w:szCs w:val="22"/>
                <w:lang w:val="en-GB"/>
              </w:rPr>
              <w:t xml:space="preserve"> </w:t>
            </w:r>
            <w:r w:rsidRPr="00091AE1">
              <w:rPr>
                <w:rFonts w:asciiTheme="minorHAnsi" w:hAnsiTheme="minorHAnsi"/>
                <w:b/>
                <w:bCs/>
                <w:sz w:val="22"/>
                <w:szCs w:val="22"/>
                <w:lang w:val="en-GB"/>
              </w:rPr>
              <w:t>(2022/23 Financial Year)</w:t>
            </w:r>
          </w:p>
        </w:tc>
      </w:tr>
      <w:tr w:rsidR="009D5A9A" w:rsidRPr="00BC7002" w14:paraId="7E63C8C1" w14:textId="77777777" w:rsidTr="00BC7002">
        <w:tc>
          <w:tcPr>
            <w:tcW w:w="2784" w:type="dxa"/>
            <w:tcBorders>
              <w:top w:val="single" w:sz="4" w:space="0" w:color="auto"/>
              <w:left w:val="nil"/>
            </w:tcBorders>
          </w:tcPr>
          <w:p w14:paraId="3DD4741D" w14:textId="3EF6ECD2" w:rsidR="009D5A9A" w:rsidRPr="00BC7002" w:rsidRDefault="009D5A9A" w:rsidP="00761890">
            <w:pPr>
              <w:pStyle w:val="Header"/>
              <w:jc w:val="both"/>
              <w:rPr>
                <w:rFonts w:asciiTheme="minorHAnsi" w:hAnsiTheme="minorHAnsi"/>
                <w:sz w:val="22"/>
                <w:szCs w:val="22"/>
                <w:lang w:val="en-GB"/>
              </w:rPr>
            </w:pPr>
          </w:p>
        </w:tc>
        <w:tc>
          <w:tcPr>
            <w:tcW w:w="5262" w:type="dxa"/>
            <w:tcBorders>
              <w:top w:val="single" w:sz="4" w:space="0" w:color="auto"/>
            </w:tcBorders>
          </w:tcPr>
          <w:p w14:paraId="1A774B10" w14:textId="49FEB4C1" w:rsidR="009D5A9A" w:rsidRPr="00BC7002" w:rsidRDefault="00216D45" w:rsidP="00761890">
            <w:pPr>
              <w:pStyle w:val="Header"/>
              <w:jc w:val="both"/>
              <w:rPr>
                <w:rFonts w:asciiTheme="minorHAnsi" w:hAnsiTheme="minorHAnsi"/>
                <w:sz w:val="22"/>
                <w:szCs w:val="22"/>
                <w:lang w:val="en-GB"/>
              </w:rPr>
            </w:pPr>
            <w:r w:rsidRPr="00BC7002">
              <w:rPr>
                <w:rFonts w:asciiTheme="minorHAnsi" w:hAnsiTheme="minorHAnsi"/>
                <w:sz w:val="22"/>
                <w:szCs w:val="22"/>
                <w:lang w:val="en-GB"/>
              </w:rPr>
              <w:t>Description</w:t>
            </w:r>
          </w:p>
        </w:tc>
        <w:tc>
          <w:tcPr>
            <w:tcW w:w="1478" w:type="dxa"/>
            <w:tcBorders>
              <w:top w:val="single" w:sz="4" w:space="0" w:color="auto"/>
              <w:right w:val="nil"/>
            </w:tcBorders>
          </w:tcPr>
          <w:p w14:paraId="6D876613" w14:textId="576EEC71" w:rsidR="009D5A9A" w:rsidRPr="00BC7002" w:rsidRDefault="00216D45" w:rsidP="009D5A9A">
            <w:pPr>
              <w:pStyle w:val="Header"/>
              <w:jc w:val="right"/>
              <w:rPr>
                <w:rFonts w:asciiTheme="minorHAnsi" w:hAnsiTheme="minorHAnsi"/>
                <w:sz w:val="22"/>
                <w:szCs w:val="22"/>
                <w:lang w:val="en-GB"/>
              </w:rPr>
            </w:pPr>
            <w:r w:rsidRPr="00BC7002">
              <w:rPr>
                <w:rFonts w:asciiTheme="minorHAnsi" w:hAnsiTheme="minorHAnsi"/>
                <w:sz w:val="22"/>
                <w:szCs w:val="22"/>
                <w:lang w:val="en-GB"/>
              </w:rPr>
              <w:t>Cost</w:t>
            </w:r>
          </w:p>
        </w:tc>
      </w:tr>
      <w:tr w:rsidR="009D5A9A" w:rsidRPr="00BC7002" w14:paraId="732A2A97" w14:textId="77777777" w:rsidTr="003C6782">
        <w:tc>
          <w:tcPr>
            <w:tcW w:w="2784" w:type="dxa"/>
            <w:tcBorders>
              <w:left w:val="nil"/>
            </w:tcBorders>
          </w:tcPr>
          <w:p w14:paraId="55199D02" w14:textId="39590EE5" w:rsidR="009D5A9A" w:rsidRPr="00BC7002" w:rsidRDefault="009D5A9A" w:rsidP="00761890">
            <w:pPr>
              <w:pStyle w:val="Header"/>
              <w:jc w:val="both"/>
              <w:rPr>
                <w:rFonts w:asciiTheme="minorHAnsi" w:hAnsiTheme="minorHAnsi"/>
                <w:sz w:val="22"/>
                <w:szCs w:val="22"/>
                <w:lang w:val="en-GB"/>
              </w:rPr>
            </w:pPr>
            <w:r w:rsidRPr="00BC7002">
              <w:rPr>
                <w:rFonts w:asciiTheme="minorHAnsi" w:hAnsiTheme="minorHAnsi"/>
                <w:sz w:val="22"/>
                <w:szCs w:val="22"/>
                <w:lang w:val="en-GB"/>
              </w:rPr>
              <w:t>Audit Fees</w:t>
            </w:r>
          </w:p>
        </w:tc>
        <w:tc>
          <w:tcPr>
            <w:tcW w:w="5262" w:type="dxa"/>
          </w:tcPr>
          <w:p w14:paraId="52A92A2C" w14:textId="78A0A3E2" w:rsidR="009D5A9A" w:rsidRPr="00BC7002" w:rsidRDefault="009D5A9A" w:rsidP="00761890">
            <w:pPr>
              <w:pStyle w:val="Header"/>
              <w:jc w:val="both"/>
              <w:rPr>
                <w:rFonts w:asciiTheme="minorHAnsi" w:hAnsiTheme="minorHAnsi"/>
                <w:sz w:val="22"/>
                <w:szCs w:val="22"/>
                <w:lang w:val="en-GB"/>
              </w:rPr>
            </w:pPr>
            <w:r w:rsidRPr="00BC7002">
              <w:rPr>
                <w:rFonts w:asciiTheme="minorHAnsi" w:hAnsiTheme="minorHAnsi"/>
                <w:sz w:val="22"/>
                <w:szCs w:val="22"/>
                <w:lang w:val="en-GB"/>
              </w:rPr>
              <w:t xml:space="preserve">SoP is required to pay both the Auditor General and the consultant working for the Auditor General to conduct both a procedural audit and a financial audit every year. Costs have dramatically increased since this change, from when approved independent auditors undertook this role. </w:t>
            </w:r>
          </w:p>
        </w:tc>
        <w:tc>
          <w:tcPr>
            <w:tcW w:w="1478" w:type="dxa"/>
            <w:tcBorders>
              <w:right w:val="nil"/>
            </w:tcBorders>
          </w:tcPr>
          <w:p w14:paraId="3EC3A8A9" w14:textId="0D4718DC" w:rsidR="009D5A9A" w:rsidRPr="00BC7002" w:rsidRDefault="009D5A9A" w:rsidP="009D5A9A">
            <w:pPr>
              <w:pStyle w:val="Header"/>
              <w:jc w:val="right"/>
              <w:rPr>
                <w:rFonts w:asciiTheme="minorHAnsi" w:hAnsiTheme="minorHAnsi"/>
                <w:sz w:val="22"/>
                <w:szCs w:val="22"/>
                <w:lang w:val="en-GB"/>
              </w:rPr>
            </w:pPr>
            <w:r w:rsidRPr="00BC7002">
              <w:rPr>
                <w:rFonts w:asciiTheme="minorHAnsi" w:hAnsiTheme="minorHAnsi"/>
                <w:sz w:val="22"/>
                <w:szCs w:val="22"/>
                <w:lang w:val="en-GB"/>
              </w:rPr>
              <w:t>$</w:t>
            </w:r>
            <w:r w:rsidRPr="00BC7002">
              <w:rPr>
                <w:rFonts w:asciiTheme="minorHAnsi" w:hAnsiTheme="minorHAnsi"/>
                <w:sz w:val="22"/>
                <w:szCs w:val="22"/>
                <w:lang w:val="en-GB"/>
              </w:rPr>
              <w:t>31,231</w:t>
            </w:r>
          </w:p>
        </w:tc>
      </w:tr>
      <w:tr w:rsidR="009D5A9A" w:rsidRPr="00BC7002" w14:paraId="597D7249" w14:textId="77777777" w:rsidTr="003C6782">
        <w:tc>
          <w:tcPr>
            <w:tcW w:w="2784" w:type="dxa"/>
            <w:tcBorders>
              <w:left w:val="nil"/>
            </w:tcBorders>
          </w:tcPr>
          <w:p w14:paraId="33B0E2D6" w14:textId="0BD1DE3A" w:rsidR="009D5A9A" w:rsidRPr="00BC7002" w:rsidRDefault="009D5A9A" w:rsidP="00761890">
            <w:pPr>
              <w:pStyle w:val="Header"/>
              <w:jc w:val="both"/>
              <w:rPr>
                <w:rFonts w:asciiTheme="minorHAnsi" w:hAnsiTheme="minorHAnsi"/>
                <w:sz w:val="22"/>
                <w:szCs w:val="22"/>
                <w:lang w:val="en-GB"/>
              </w:rPr>
            </w:pPr>
            <w:r w:rsidRPr="00BC7002">
              <w:rPr>
                <w:rFonts w:asciiTheme="minorHAnsi" w:hAnsiTheme="minorHAnsi"/>
                <w:sz w:val="22"/>
                <w:szCs w:val="22"/>
                <w:lang w:val="en-GB"/>
              </w:rPr>
              <w:t>Audit Facilitation</w:t>
            </w:r>
          </w:p>
        </w:tc>
        <w:tc>
          <w:tcPr>
            <w:tcW w:w="5262" w:type="dxa"/>
          </w:tcPr>
          <w:p w14:paraId="23FAE883" w14:textId="12F56974" w:rsidR="009D5A9A" w:rsidRPr="00BC7002" w:rsidRDefault="009D5A9A" w:rsidP="00761890">
            <w:pPr>
              <w:pStyle w:val="Header"/>
              <w:jc w:val="both"/>
              <w:rPr>
                <w:rFonts w:asciiTheme="minorHAnsi" w:hAnsiTheme="minorHAnsi"/>
                <w:sz w:val="22"/>
                <w:szCs w:val="22"/>
                <w:lang w:val="en-GB"/>
              </w:rPr>
            </w:pPr>
            <w:r w:rsidRPr="00BC7002">
              <w:rPr>
                <w:rFonts w:asciiTheme="minorHAnsi" w:hAnsiTheme="minorHAnsi"/>
                <w:sz w:val="22"/>
                <w:szCs w:val="22"/>
                <w:lang w:val="en-GB"/>
              </w:rPr>
              <w:t xml:space="preserve">A team of staff is required to prepare a prearranged file of information and also provide further detailed information for the above audits e.g. search and provide a particular purchase order etc. </w:t>
            </w:r>
          </w:p>
        </w:tc>
        <w:tc>
          <w:tcPr>
            <w:tcW w:w="1478" w:type="dxa"/>
            <w:tcBorders>
              <w:right w:val="nil"/>
            </w:tcBorders>
          </w:tcPr>
          <w:p w14:paraId="6BB6A8FA" w14:textId="0FB74335" w:rsidR="009D5A9A" w:rsidRPr="00BC7002" w:rsidRDefault="009D5A9A" w:rsidP="009D5A9A">
            <w:pPr>
              <w:pStyle w:val="Header"/>
              <w:jc w:val="right"/>
              <w:rPr>
                <w:rFonts w:asciiTheme="minorHAnsi" w:hAnsiTheme="minorHAnsi"/>
                <w:sz w:val="22"/>
                <w:szCs w:val="22"/>
                <w:lang w:val="en-GB"/>
              </w:rPr>
            </w:pPr>
            <w:r w:rsidRPr="00BC7002">
              <w:rPr>
                <w:rFonts w:asciiTheme="minorHAnsi" w:hAnsiTheme="minorHAnsi"/>
                <w:sz w:val="22"/>
                <w:szCs w:val="22"/>
                <w:lang w:val="en-GB"/>
              </w:rPr>
              <w:t>$50,000</w:t>
            </w:r>
          </w:p>
        </w:tc>
      </w:tr>
      <w:tr w:rsidR="009D5A9A" w:rsidRPr="00BC7002" w14:paraId="3E21B812" w14:textId="77777777" w:rsidTr="003C6782">
        <w:tc>
          <w:tcPr>
            <w:tcW w:w="2784" w:type="dxa"/>
            <w:tcBorders>
              <w:left w:val="nil"/>
            </w:tcBorders>
          </w:tcPr>
          <w:p w14:paraId="3C9630EA" w14:textId="548D697B" w:rsidR="009D5A9A" w:rsidRPr="00BC7002" w:rsidRDefault="009D5A9A" w:rsidP="00761890">
            <w:pPr>
              <w:pStyle w:val="Header"/>
              <w:jc w:val="both"/>
              <w:rPr>
                <w:rFonts w:asciiTheme="minorHAnsi" w:hAnsiTheme="minorHAnsi"/>
                <w:sz w:val="22"/>
                <w:szCs w:val="22"/>
                <w:lang w:val="en-GB"/>
              </w:rPr>
            </w:pPr>
            <w:r w:rsidRPr="00BC7002">
              <w:rPr>
                <w:rFonts w:asciiTheme="minorHAnsi" w:hAnsiTheme="minorHAnsi"/>
                <w:sz w:val="22"/>
                <w:szCs w:val="22"/>
                <w:lang w:val="en-GB"/>
              </w:rPr>
              <w:t>Road Valuations</w:t>
            </w:r>
          </w:p>
        </w:tc>
        <w:tc>
          <w:tcPr>
            <w:tcW w:w="5262" w:type="dxa"/>
          </w:tcPr>
          <w:p w14:paraId="68DF450A" w14:textId="50AC50C4" w:rsidR="009D5A9A" w:rsidRPr="00BC7002" w:rsidRDefault="009D5A9A" w:rsidP="00761890">
            <w:pPr>
              <w:pStyle w:val="Header"/>
              <w:jc w:val="both"/>
              <w:rPr>
                <w:rFonts w:asciiTheme="minorHAnsi" w:hAnsiTheme="minorHAnsi"/>
                <w:sz w:val="22"/>
                <w:szCs w:val="22"/>
                <w:lang w:val="en-GB"/>
              </w:rPr>
            </w:pPr>
            <w:r w:rsidRPr="00BC7002">
              <w:rPr>
                <w:rFonts w:asciiTheme="minorHAnsi" w:hAnsiTheme="minorHAnsi"/>
                <w:sz w:val="22"/>
                <w:szCs w:val="22"/>
                <w:lang w:val="en-GB"/>
              </w:rPr>
              <w:t xml:space="preserve">SoP is required to obtain a commercial valuation for roads. This is despite the fact that SoP does not own the land under the roads </w:t>
            </w:r>
            <w:r w:rsidR="00216D45" w:rsidRPr="00BC7002">
              <w:rPr>
                <w:rFonts w:asciiTheme="minorHAnsi" w:hAnsiTheme="minorHAnsi"/>
                <w:sz w:val="22"/>
                <w:szCs w:val="22"/>
                <w:lang w:val="en-GB"/>
              </w:rPr>
              <w:t xml:space="preserve">(they are reserves) </w:t>
            </w:r>
            <w:r w:rsidRPr="00BC7002">
              <w:rPr>
                <w:rFonts w:asciiTheme="minorHAnsi" w:hAnsiTheme="minorHAnsi"/>
                <w:sz w:val="22"/>
                <w:szCs w:val="22"/>
                <w:lang w:val="en-GB"/>
              </w:rPr>
              <w:t>and has no prospect of selling the</w:t>
            </w:r>
            <w:r w:rsidR="00216D45" w:rsidRPr="00BC7002">
              <w:rPr>
                <w:rFonts w:asciiTheme="minorHAnsi" w:hAnsiTheme="minorHAnsi"/>
                <w:sz w:val="22"/>
                <w:szCs w:val="22"/>
                <w:lang w:val="en-GB"/>
              </w:rPr>
              <w:t xml:space="preserve"> roads. This figure is for accounting purposes only. An internal estimate would not comply with the legislation. </w:t>
            </w:r>
          </w:p>
        </w:tc>
        <w:tc>
          <w:tcPr>
            <w:tcW w:w="1478" w:type="dxa"/>
            <w:tcBorders>
              <w:right w:val="nil"/>
            </w:tcBorders>
          </w:tcPr>
          <w:p w14:paraId="58688E23" w14:textId="3F3D9F7E" w:rsidR="009D5A9A" w:rsidRPr="00BC7002" w:rsidRDefault="00216D45" w:rsidP="009D5A9A">
            <w:pPr>
              <w:pStyle w:val="Header"/>
              <w:jc w:val="right"/>
              <w:rPr>
                <w:rFonts w:asciiTheme="minorHAnsi" w:hAnsiTheme="minorHAnsi"/>
                <w:sz w:val="22"/>
                <w:szCs w:val="22"/>
                <w:lang w:val="en-GB"/>
              </w:rPr>
            </w:pPr>
            <w:r w:rsidRPr="00BC7002">
              <w:rPr>
                <w:rFonts w:asciiTheme="minorHAnsi" w:hAnsiTheme="minorHAnsi"/>
                <w:sz w:val="22"/>
                <w:szCs w:val="22"/>
                <w:lang w:val="en-GB"/>
              </w:rPr>
              <w:t>$6,574</w:t>
            </w:r>
          </w:p>
        </w:tc>
      </w:tr>
      <w:tr w:rsidR="00BC7002" w:rsidRPr="00BC7002" w14:paraId="1999CA7E" w14:textId="77777777" w:rsidTr="003C6782">
        <w:tc>
          <w:tcPr>
            <w:tcW w:w="2784" w:type="dxa"/>
            <w:tcBorders>
              <w:left w:val="nil"/>
            </w:tcBorders>
          </w:tcPr>
          <w:p w14:paraId="2E9F5ED6" w14:textId="329B5F5A" w:rsidR="009D5A9A" w:rsidRPr="00BC7002" w:rsidRDefault="00216D45" w:rsidP="00761890">
            <w:pPr>
              <w:pStyle w:val="Header"/>
              <w:jc w:val="both"/>
              <w:rPr>
                <w:rFonts w:asciiTheme="minorHAnsi" w:hAnsiTheme="minorHAnsi"/>
                <w:sz w:val="22"/>
                <w:szCs w:val="22"/>
                <w:lang w:val="en-GB"/>
              </w:rPr>
            </w:pPr>
            <w:r w:rsidRPr="00BC7002">
              <w:rPr>
                <w:rFonts w:asciiTheme="minorHAnsi" w:hAnsiTheme="minorHAnsi"/>
                <w:sz w:val="22"/>
                <w:szCs w:val="22"/>
                <w:lang w:val="en-GB"/>
              </w:rPr>
              <w:t>Record Management Plan</w:t>
            </w:r>
          </w:p>
        </w:tc>
        <w:tc>
          <w:tcPr>
            <w:tcW w:w="5262" w:type="dxa"/>
          </w:tcPr>
          <w:p w14:paraId="3305F87B" w14:textId="2C43F71F" w:rsidR="009D5A9A" w:rsidRPr="00BC7002" w:rsidRDefault="00216D45" w:rsidP="00761890">
            <w:pPr>
              <w:pStyle w:val="Header"/>
              <w:jc w:val="both"/>
              <w:rPr>
                <w:rFonts w:asciiTheme="minorHAnsi" w:hAnsiTheme="minorHAnsi"/>
                <w:sz w:val="22"/>
                <w:szCs w:val="22"/>
                <w:lang w:val="en-GB"/>
              </w:rPr>
            </w:pPr>
            <w:r w:rsidRPr="00BC7002">
              <w:rPr>
                <w:rFonts w:asciiTheme="minorHAnsi" w:hAnsiTheme="minorHAnsi"/>
                <w:sz w:val="22"/>
                <w:szCs w:val="22"/>
                <w:lang w:val="en-GB"/>
              </w:rPr>
              <w:t xml:space="preserve">This plan is required to be prepared and reviewed regularly while a policy or procedure would suffice. </w:t>
            </w:r>
          </w:p>
        </w:tc>
        <w:tc>
          <w:tcPr>
            <w:tcW w:w="1478" w:type="dxa"/>
            <w:tcBorders>
              <w:right w:val="nil"/>
            </w:tcBorders>
          </w:tcPr>
          <w:p w14:paraId="071A5E21" w14:textId="53F94C5D" w:rsidR="009D5A9A" w:rsidRPr="00BC7002" w:rsidRDefault="00216D45" w:rsidP="00216D45">
            <w:pPr>
              <w:pStyle w:val="Header"/>
              <w:jc w:val="right"/>
              <w:rPr>
                <w:rFonts w:asciiTheme="minorHAnsi" w:hAnsiTheme="minorHAnsi"/>
                <w:sz w:val="22"/>
                <w:szCs w:val="22"/>
                <w:lang w:val="en-GB"/>
              </w:rPr>
            </w:pPr>
            <w:r w:rsidRPr="00BC7002">
              <w:rPr>
                <w:rFonts w:asciiTheme="minorHAnsi" w:hAnsiTheme="minorHAnsi"/>
                <w:sz w:val="22"/>
                <w:szCs w:val="22"/>
                <w:lang w:val="en-GB"/>
              </w:rPr>
              <w:t>$5,000</w:t>
            </w:r>
          </w:p>
        </w:tc>
      </w:tr>
      <w:tr w:rsidR="002C0E8C" w:rsidRPr="00BC7002" w14:paraId="003C69AC" w14:textId="77777777" w:rsidTr="003C6782">
        <w:tc>
          <w:tcPr>
            <w:tcW w:w="2784" w:type="dxa"/>
            <w:tcBorders>
              <w:left w:val="nil"/>
            </w:tcBorders>
          </w:tcPr>
          <w:p w14:paraId="45910732" w14:textId="5B227B5E" w:rsidR="002C0E8C" w:rsidRPr="00BC7002" w:rsidRDefault="002C0E8C" w:rsidP="00761890">
            <w:pPr>
              <w:pStyle w:val="Header"/>
              <w:jc w:val="both"/>
              <w:rPr>
                <w:rFonts w:asciiTheme="minorHAnsi" w:hAnsiTheme="minorHAnsi"/>
                <w:sz w:val="22"/>
                <w:szCs w:val="22"/>
                <w:lang w:val="en-GB"/>
              </w:rPr>
            </w:pPr>
            <w:r w:rsidRPr="00BC7002">
              <w:rPr>
                <w:rFonts w:asciiTheme="minorHAnsi" w:hAnsiTheme="minorHAnsi"/>
                <w:sz w:val="22"/>
                <w:szCs w:val="22"/>
                <w:lang w:val="en-GB"/>
              </w:rPr>
              <w:t>State Records Act 2000</w:t>
            </w:r>
          </w:p>
        </w:tc>
        <w:tc>
          <w:tcPr>
            <w:tcW w:w="5262" w:type="dxa"/>
          </w:tcPr>
          <w:p w14:paraId="67CDF62F" w14:textId="08E16505" w:rsidR="002C0E8C" w:rsidRPr="00BC7002" w:rsidRDefault="002C0E8C" w:rsidP="00761890">
            <w:pPr>
              <w:pStyle w:val="Header"/>
              <w:jc w:val="both"/>
              <w:rPr>
                <w:rFonts w:asciiTheme="minorHAnsi" w:hAnsiTheme="minorHAnsi"/>
                <w:sz w:val="22"/>
                <w:szCs w:val="22"/>
                <w:lang w:val="en-GB"/>
              </w:rPr>
            </w:pPr>
            <w:r w:rsidRPr="00BC7002">
              <w:rPr>
                <w:rFonts w:asciiTheme="minorHAnsi" w:hAnsiTheme="minorHAnsi"/>
                <w:sz w:val="22"/>
                <w:szCs w:val="22"/>
                <w:lang w:val="en-GB"/>
              </w:rPr>
              <w:t>SoP staff spend an estimated 5% of their time keeping records of emails and letters sent and received. For the vast majority of cases this is unnecessary (e.g. notes taken during a meeting to collate minutes) and discretion should be used for what should be recorded. SoP has not had a Freedom of Information Request in the past 5 years.</w:t>
            </w:r>
          </w:p>
        </w:tc>
        <w:tc>
          <w:tcPr>
            <w:tcW w:w="1478" w:type="dxa"/>
            <w:tcBorders>
              <w:right w:val="nil"/>
            </w:tcBorders>
          </w:tcPr>
          <w:p w14:paraId="5417FFA6" w14:textId="77777777" w:rsidR="002C0E8C" w:rsidRPr="00BC7002" w:rsidRDefault="002C0E8C" w:rsidP="00216D45">
            <w:pPr>
              <w:pStyle w:val="Header"/>
              <w:jc w:val="right"/>
              <w:rPr>
                <w:rFonts w:asciiTheme="minorHAnsi" w:hAnsiTheme="minorHAnsi"/>
                <w:sz w:val="22"/>
                <w:szCs w:val="22"/>
                <w:lang w:val="en-GB"/>
              </w:rPr>
            </w:pPr>
            <w:r w:rsidRPr="00BC7002">
              <w:rPr>
                <w:rFonts w:asciiTheme="minorHAnsi" w:hAnsiTheme="minorHAnsi"/>
                <w:sz w:val="22"/>
                <w:szCs w:val="22"/>
                <w:lang w:val="en-GB"/>
              </w:rPr>
              <w:t>$36,301</w:t>
            </w:r>
            <w:r w:rsidR="00530167" w:rsidRPr="00BC7002">
              <w:rPr>
                <w:rFonts w:asciiTheme="minorHAnsi" w:hAnsiTheme="minorHAnsi"/>
                <w:sz w:val="22"/>
                <w:szCs w:val="22"/>
                <w:lang w:val="en-GB"/>
              </w:rPr>
              <w:t xml:space="preserve"> (staff time)</w:t>
            </w:r>
          </w:p>
          <w:p w14:paraId="12998DCE" w14:textId="77777777" w:rsidR="00530167" w:rsidRPr="00BC7002" w:rsidRDefault="00530167" w:rsidP="00216D45">
            <w:pPr>
              <w:pStyle w:val="Header"/>
              <w:jc w:val="right"/>
              <w:rPr>
                <w:rFonts w:asciiTheme="minorHAnsi" w:hAnsiTheme="minorHAnsi"/>
                <w:sz w:val="22"/>
                <w:szCs w:val="22"/>
                <w:lang w:val="en-GB"/>
              </w:rPr>
            </w:pPr>
          </w:p>
          <w:p w14:paraId="636A4DED" w14:textId="3CB3BD30" w:rsidR="00530167" w:rsidRPr="00BC7002" w:rsidRDefault="00530167" w:rsidP="00216D45">
            <w:pPr>
              <w:pStyle w:val="Header"/>
              <w:jc w:val="right"/>
              <w:rPr>
                <w:rFonts w:asciiTheme="minorHAnsi" w:hAnsiTheme="minorHAnsi"/>
                <w:sz w:val="22"/>
                <w:szCs w:val="22"/>
                <w:lang w:val="en-GB"/>
              </w:rPr>
            </w:pPr>
            <w:r w:rsidRPr="00BC7002">
              <w:rPr>
                <w:rFonts w:asciiTheme="minorHAnsi" w:hAnsiTheme="minorHAnsi"/>
                <w:sz w:val="22"/>
                <w:szCs w:val="22"/>
                <w:lang w:val="en-GB"/>
              </w:rPr>
              <w:t>$41,042 (records management software)</w:t>
            </w:r>
          </w:p>
        </w:tc>
      </w:tr>
      <w:tr w:rsidR="00216D45" w:rsidRPr="00BC7002" w14:paraId="7567A7CB" w14:textId="77777777" w:rsidTr="003C6782">
        <w:tc>
          <w:tcPr>
            <w:tcW w:w="2784" w:type="dxa"/>
            <w:tcBorders>
              <w:left w:val="nil"/>
            </w:tcBorders>
          </w:tcPr>
          <w:p w14:paraId="761C5648" w14:textId="1F1F3737" w:rsidR="00216D45" w:rsidRPr="00BC7002" w:rsidRDefault="00216D45" w:rsidP="00761890">
            <w:pPr>
              <w:pStyle w:val="Header"/>
              <w:jc w:val="both"/>
              <w:rPr>
                <w:rFonts w:asciiTheme="minorHAnsi" w:hAnsiTheme="minorHAnsi"/>
                <w:sz w:val="22"/>
                <w:szCs w:val="22"/>
                <w:lang w:val="en-GB"/>
              </w:rPr>
            </w:pPr>
            <w:r w:rsidRPr="00BC7002">
              <w:rPr>
                <w:rFonts w:asciiTheme="minorHAnsi" w:hAnsiTheme="minorHAnsi"/>
                <w:sz w:val="22"/>
                <w:szCs w:val="22"/>
                <w:lang w:val="en-GB"/>
              </w:rPr>
              <w:t>Statewide Public Notice</w:t>
            </w:r>
          </w:p>
        </w:tc>
        <w:tc>
          <w:tcPr>
            <w:tcW w:w="5262" w:type="dxa"/>
          </w:tcPr>
          <w:p w14:paraId="38270EA7" w14:textId="5A99EAF5" w:rsidR="00216D45" w:rsidRPr="00BC7002" w:rsidRDefault="00216D45" w:rsidP="00761890">
            <w:pPr>
              <w:pStyle w:val="Header"/>
              <w:jc w:val="both"/>
              <w:rPr>
                <w:rFonts w:asciiTheme="minorHAnsi" w:hAnsiTheme="minorHAnsi"/>
                <w:sz w:val="22"/>
                <w:szCs w:val="22"/>
                <w:lang w:val="en-GB"/>
              </w:rPr>
            </w:pPr>
            <w:r w:rsidRPr="00BC7002">
              <w:rPr>
                <w:rFonts w:asciiTheme="minorHAnsi" w:hAnsiTheme="minorHAnsi"/>
                <w:sz w:val="22"/>
                <w:szCs w:val="22"/>
                <w:lang w:val="en-GB"/>
              </w:rPr>
              <w:t>Tender, certain positions, selling/leasing property and many more cases requires ‘statewide public notice’. This includes adverting in the local newspaper, social media, noticeboards and the Shire’s website. It also requires adverting in the West Australian</w:t>
            </w:r>
            <w:r w:rsidR="002C0E8C" w:rsidRPr="00BC7002">
              <w:rPr>
                <w:rFonts w:asciiTheme="minorHAnsi" w:hAnsiTheme="minorHAnsi"/>
                <w:sz w:val="22"/>
                <w:szCs w:val="22"/>
                <w:lang w:val="en-GB"/>
              </w:rPr>
              <w:t>. This costs $3,000 - $7,000 depending on the day and the size of the advert. It is ineffective and irrelevant in 2024.</w:t>
            </w:r>
          </w:p>
        </w:tc>
        <w:tc>
          <w:tcPr>
            <w:tcW w:w="1478" w:type="dxa"/>
            <w:tcBorders>
              <w:right w:val="nil"/>
            </w:tcBorders>
          </w:tcPr>
          <w:p w14:paraId="4D69F84E" w14:textId="75962195" w:rsidR="00216D45" w:rsidRPr="00BC7002" w:rsidRDefault="002C0E8C" w:rsidP="00216D45">
            <w:pPr>
              <w:pStyle w:val="Header"/>
              <w:jc w:val="right"/>
              <w:rPr>
                <w:rFonts w:asciiTheme="minorHAnsi" w:hAnsiTheme="minorHAnsi"/>
                <w:sz w:val="22"/>
                <w:szCs w:val="22"/>
                <w:lang w:val="en-GB"/>
              </w:rPr>
            </w:pPr>
            <w:r w:rsidRPr="00BC7002">
              <w:rPr>
                <w:rFonts w:asciiTheme="minorHAnsi" w:hAnsiTheme="minorHAnsi"/>
                <w:sz w:val="22"/>
                <w:szCs w:val="22"/>
                <w:lang w:val="en-GB"/>
              </w:rPr>
              <w:t>$15,785</w:t>
            </w:r>
          </w:p>
        </w:tc>
      </w:tr>
      <w:tr w:rsidR="002C0E8C" w:rsidRPr="00BC7002" w14:paraId="00FC60C9" w14:textId="77777777" w:rsidTr="003C6782">
        <w:tc>
          <w:tcPr>
            <w:tcW w:w="2784" w:type="dxa"/>
            <w:tcBorders>
              <w:left w:val="nil"/>
            </w:tcBorders>
          </w:tcPr>
          <w:p w14:paraId="1949AA87" w14:textId="6A4D0A35" w:rsidR="002C0E8C" w:rsidRPr="00BC7002" w:rsidRDefault="002C0E8C" w:rsidP="00761890">
            <w:pPr>
              <w:pStyle w:val="Header"/>
              <w:jc w:val="both"/>
              <w:rPr>
                <w:rFonts w:asciiTheme="minorHAnsi" w:hAnsiTheme="minorHAnsi"/>
                <w:sz w:val="22"/>
                <w:szCs w:val="22"/>
                <w:lang w:val="en-GB"/>
              </w:rPr>
            </w:pPr>
            <w:r w:rsidRPr="00BC7002">
              <w:rPr>
                <w:rFonts w:asciiTheme="minorHAnsi" w:hAnsiTheme="minorHAnsi"/>
                <w:sz w:val="22"/>
                <w:szCs w:val="22"/>
                <w:lang w:val="en-GB"/>
              </w:rPr>
              <w:t>Elected Member Training</w:t>
            </w:r>
          </w:p>
        </w:tc>
        <w:tc>
          <w:tcPr>
            <w:tcW w:w="5262" w:type="dxa"/>
          </w:tcPr>
          <w:p w14:paraId="3A1FAD73" w14:textId="0CFF3CCC" w:rsidR="002C0E8C" w:rsidRPr="00BC7002" w:rsidRDefault="002C0E8C" w:rsidP="00761890">
            <w:pPr>
              <w:pStyle w:val="Header"/>
              <w:jc w:val="both"/>
              <w:rPr>
                <w:rFonts w:asciiTheme="minorHAnsi" w:hAnsiTheme="minorHAnsi"/>
                <w:sz w:val="22"/>
                <w:szCs w:val="22"/>
                <w:lang w:val="en-GB"/>
              </w:rPr>
            </w:pPr>
            <w:r w:rsidRPr="00BC7002">
              <w:rPr>
                <w:rFonts w:asciiTheme="minorHAnsi" w:hAnsiTheme="minorHAnsi"/>
                <w:sz w:val="22"/>
                <w:szCs w:val="22"/>
                <w:lang w:val="en-GB"/>
              </w:rPr>
              <w:t xml:space="preserve">Councillors are required to undergo a </w:t>
            </w:r>
            <w:r w:rsidR="001C363A" w:rsidRPr="00BC7002">
              <w:rPr>
                <w:rFonts w:asciiTheme="minorHAnsi" w:hAnsiTheme="minorHAnsi"/>
                <w:sz w:val="22"/>
                <w:szCs w:val="22"/>
                <w:lang w:val="en-GB"/>
              </w:rPr>
              <w:t>5-day</w:t>
            </w:r>
            <w:r w:rsidRPr="00BC7002">
              <w:rPr>
                <w:rFonts w:asciiTheme="minorHAnsi" w:hAnsiTheme="minorHAnsi"/>
                <w:sz w:val="22"/>
                <w:szCs w:val="22"/>
                <w:lang w:val="en-GB"/>
              </w:rPr>
              <w:t xml:space="preserve"> mandatory training every 5 years through WALGA or an RTO. This is the role of the Dept of Local Government and should be provided without charge. Councillors should also be paid to attend this training – similar to jury duty. This will encourage training and promote high quality decision making.  </w:t>
            </w:r>
          </w:p>
        </w:tc>
        <w:tc>
          <w:tcPr>
            <w:tcW w:w="1478" w:type="dxa"/>
            <w:tcBorders>
              <w:right w:val="nil"/>
            </w:tcBorders>
          </w:tcPr>
          <w:p w14:paraId="6C4DD54A" w14:textId="1433D9F2" w:rsidR="002C0E8C" w:rsidRPr="00BC7002" w:rsidRDefault="002C0E8C" w:rsidP="00216D45">
            <w:pPr>
              <w:pStyle w:val="Header"/>
              <w:jc w:val="right"/>
              <w:rPr>
                <w:rFonts w:asciiTheme="minorHAnsi" w:hAnsiTheme="minorHAnsi"/>
                <w:sz w:val="22"/>
                <w:szCs w:val="22"/>
                <w:lang w:val="en-GB"/>
              </w:rPr>
            </w:pPr>
            <w:r w:rsidRPr="00BC7002">
              <w:rPr>
                <w:rFonts w:asciiTheme="minorHAnsi" w:hAnsiTheme="minorHAnsi"/>
                <w:sz w:val="22"/>
                <w:szCs w:val="22"/>
                <w:lang w:val="en-GB"/>
              </w:rPr>
              <w:t>$5,078</w:t>
            </w:r>
          </w:p>
        </w:tc>
      </w:tr>
      <w:tr w:rsidR="002C0E8C" w:rsidRPr="00BC7002" w14:paraId="68DBDABD" w14:textId="77777777" w:rsidTr="003C6782">
        <w:tc>
          <w:tcPr>
            <w:tcW w:w="2784" w:type="dxa"/>
            <w:tcBorders>
              <w:left w:val="nil"/>
            </w:tcBorders>
          </w:tcPr>
          <w:p w14:paraId="16E99F45" w14:textId="67EDD120" w:rsidR="002C0E8C" w:rsidRPr="00BC7002" w:rsidRDefault="00530167" w:rsidP="00761890">
            <w:pPr>
              <w:pStyle w:val="Header"/>
              <w:jc w:val="both"/>
              <w:rPr>
                <w:rFonts w:asciiTheme="minorHAnsi" w:hAnsiTheme="minorHAnsi"/>
                <w:sz w:val="22"/>
                <w:szCs w:val="22"/>
                <w:lang w:val="en-GB"/>
              </w:rPr>
            </w:pPr>
            <w:r w:rsidRPr="00BC7002">
              <w:rPr>
                <w:rFonts w:asciiTheme="minorHAnsi" w:hAnsiTheme="minorHAnsi"/>
                <w:sz w:val="22"/>
                <w:szCs w:val="22"/>
                <w:lang w:val="en-GB"/>
              </w:rPr>
              <w:t>Construction of a Bushfire Brigade Building</w:t>
            </w:r>
          </w:p>
        </w:tc>
        <w:tc>
          <w:tcPr>
            <w:tcW w:w="5262" w:type="dxa"/>
          </w:tcPr>
          <w:p w14:paraId="1B8FE2F9" w14:textId="67BCC163" w:rsidR="002C0E8C" w:rsidRPr="00BC7002" w:rsidRDefault="00530167" w:rsidP="00761890">
            <w:pPr>
              <w:pStyle w:val="Header"/>
              <w:jc w:val="both"/>
              <w:rPr>
                <w:rFonts w:asciiTheme="minorHAnsi" w:hAnsiTheme="minorHAnsi"/>
                <w:sz w:val="22"/>
                <w:szCs w:val="22"/>
                <w:lang w:val="en-GB"/>
              </w:rPr>
            </w:pPr>
            <w:r w:rsidRPr="00BC7002">
              <w:rPr>
                <w:rFonts w:asciiTheme="minorHAnsi" w:hAnsiTheme="minorHAnsi"/>
                <w:sz w:val="22"/>
                <w:szCs w:val="22"/>
                <w:lang w:val="en-GB"/>
              </w:rPr>
              <w:t xml:space="preserve">SoP is required to contribute land and funding towards the construction of </w:t>
            </w:r>
            <w:r w:rsidRPr="00BC7002">
              <w:rPr>
                <w:rFonts w:asciiTheme="minorHAnsi" w:hAnsiTheme="minorHAnsi"/>
                <w:sz w:val="22"/>
                <w:szCs w:val="22"/>
                <w:lang w:val="en-GB"/>
              </w:rPr>
              <w:t>Bushfire Brigade Building</w:t>
            </w:r>
            <w:r w:rsidRPr="00BC7002">
              <w:rPr>
                <w:rFonts w:asciiTheme="minorHAnsi" w:hAnsiTheme="minorHAnsi"/>
                <w:sz w:val="22"/>
                <w:szCs w:val="22"/>
                <w:lang w:val="en-GB"/>
              </w:rPr>
              <w:t xml:space="preserve">s. This is directly to supplement the state government’s budget as the state did not require this financial contribution 8-10 years ago. </w:t>
            </w:r>
          </w:p>
        </w:tc>
        <w:tc>
          <w:tcPr>
            <w:tcW w:w="1478" w:type="dxa"/>
            <w:tcBorders>
              <w:right w:val="nil"/>
            </w:tcBorders>
          </w:tcPr>
          <w:p w14:paraId="7A033A2D" w14:textId="02373CE9" w:rsidR="002C0E8C" w:rsidRPr="00BC7002" w:rsidRDefault="00530167" w:rsidP="00216D45">
            <w:pPr>
              <w:pStyle w:val="Header"/>
              <w:jc w:val="right"/>
              <w:rPr>
                <w:rFonts w:asciiTheme="minorHAnsi" w:hAnsiTheme="minorHAnsi"/>
                <w:sz w:val="22"/>
                <w:szCs w:val="22"/>
                <w:lang w:val="en-GB"/>
              </w:rPr>
            </w:pPr>
            <w:r w:rsidRPr="00BC7002">
              <w:rPr>
                <w:rFonts w:asciiTheme="minorHAnsi" w:hAnsiTheme="minorHAnsi"/>
                <w:sz w:val="22"/>
                <w:szCs w:val="22"/>
                <w:lang w:val="en-GB"/>
              </w:rPr>
              <w:t>$10,000</w:t>
            </w:r>
          </w:p>
        </w:tc>
      </w:tr>
      <w:tr w:rsidR="00530167" w:rsidRPr="00BC7002" w14:paraId="3DCD3763" w14:textId="77777777" w:rsidTr="003C6782">
        <w:tc>
          <w:tcPr>
            <w:tcW w:w="2784" w:type="dxa"/>
            <w:tcBorders>
              <w:left w:val="nil"/>
            </w:tcBorders>
          </w:tcPr>
          <w:p w14:paraId="35722BD9" w14:textId="2618083B" w:rsidR="00530167" w:rsidRPr="00BC7002" w:rsidRDefault="00530167" w:rsidP="00761890">
            <w:pPr>
              <w:pStyle w:val="Header"/>
              <w:jc w:val="both"/>
              <w:rPr>
                <w:rFonts w:asciiTheme="minorHAnsi" w:hAnsiTheme="minorHAnsi"/>
                <w:sz w:val="22"/>
                <w:szCs w:val="22"/>
                <w:lang w:val="en-GB"/>
              </w:rPr>
            </w:pPr>
            <w:r w:rsidRPr="00BC7002">
              <w:rPr>
                <w:rFonts w:asciiTheme="minorHAnsi" w:hAnsiTheme="minorHAnsi"/>
                <w:sz w:val="22"/>
                <w:szCs w:val="22"/>
                <w:lang w:val="en-GB"/>
              </w:rPr>
              <w:t>Bush Fire Brigades</w:t>
            </w:r>
          </w:p>
        </w:tc>
        <w:tc>
          <w:tcPr>
            <w:tcW w:w="5262" w:type="dxa"/>
          </w:tcPr>
          <w:p w14:paraId="78090190" w14:textId="311AC2C3" w:rsidR="00530167" w:rsidRPr="00BC7002" w:rsidRDefault="00530167" w:rsidP="00761890">
            <w:pPr>
              <w:pStyle w:val="Header"/>
              <w:jc w:val="both"/>
              <w:rPr>
                <w:rFonts w:asciiTheme="minorHAnsi" w:hAnsiTheme="minorHAnsi"/>
                <w:sz w:val="22"/>
                <w:szCs w:val="22"/>
                <w:lang w:val="en-GB"/>
              </w:rPr>
            </w:pPr>
            <w:r w:rsidRPr="00BC7002">
              <w:rPr>
                <w:rFonts w:asciiTheme="minorHAnsi" w:hAnsiTheme="minorHAnsi"/>
                <w:sz w:val="22"/>
                <w:szCs w:val="22"/>
                <w:lang w:val="en-GB"/>
              </w:rPr>
              <w:t>The Emergency Services Levy is levied on all landowners throughout the State to fund emergency services, particularly bushfire. When introduced it was explicit that the ESL was to fund operational, front line services only. This has now been eroded that only 8% of the ESL</w:t>
            </w:r>
            <w:r w:rsidRPr="00BC7002">
              <w:rPr>
                <w:rFonts w:asciiTheme="minorHAnsi" w:eastAsia="Aptos" w:hAnsiTheme="minorHAnsi"/>
                <w:kern w:val="2"/>
                <w:sz w:val="22"/>
                <w:szCs w:val="22"/>
                <w14:ligatures w14:val="standardContextual"/>
              </w:rPr>
              <w:t xml:space="preserve"> (total </w:t>
            </w:r>
            <w:r w:rsidRPr="00BC7002">
              <w:rPr>
                <w:rFonts w:asciiTheme="minorHAnsi" w:eastAsia="Aptos" w:hAnsiTheme="minorHAnsi"/>
                <w:kern w:val="2"/>
                <w:sz w:val="22"/>
                <w:szCs w:val="22"/>
                <w14:ligatures w14:val="standardContextual"/>
              </w:rPr>
              <w:t>2023-24 $418.8 million</w:t>
            </w:r>
            <w:r w:rsidRPr="00BC7002">
              <w:rPr>
                <w:rFonts w:asciiTheme="minorHAnsi" w:eastAsia="Aptos" w:hAnsiTheme="minorHAnsi"/>
                <w:kern w:val="2"/>
                <w:sz w:val="22"/>
                <w:szCs w:val="22"/>
                <w14:ligatures w14:val="standardContextual"/>
              </w:rPr>
              <w:t>)</w:t>
            </w:r>
            <w:r w:rsidRPr="00BC7002">
              <w:rPr>
                <w:rFonts w:asciiTheme="minorHAnsi" w:hAnsiTheme="minorHAnsi"/>
                <w:sz w:val="22"/>
                <w:szCs w:val="22"/>
                <w:lang w:val="en-GB"/>
              </w:rPr>
              <w:t xml:space="preserve"> is </w:t>
            </w:r>
            <w:r w:rsidRPr="00BC7002">
              <w:rPr>
                <w:rFonts w:asciiTheme="minorHAnsi" w:hAnsiTheme="minorHAnsi"/>
                <w:sz w:val="22"/>
                <w:szCs w:val="22"/>
                <w:lang w:val="en-GB"/>
              </w:rPr>
              <w:lastRenderedPageBreak/>
              <w:t xml:space="preserve">allocated to bushfire brigades. Most of the rest is </w:t>
            </w:r>
            <w:r w:rsidR="004915F3" w:rsidRPr="00BC7002">
              <w:rPr>
                <w:rFonts w:asciiTheme="minorHAnsi" w:hAnsiTheme="minorHAnsi"/>
                <w:sz w:val="22"/>
                <w:szCs w:val="22"/>
                <w:lang w:val="en-GB"/>
              </w:rPr>
              <w:t xml:space="preserve">lost in </w:t>
            </w:r>
            <w:r w:rsidRPr="00BC7002">
              <w:rPr>
                <w:rFonts w:asciiTheme="minorHAnsi" w:hAnsiTheme="minorHAnsi"/>
                <w:sz w:val="22"/>
                <w:szCs w:val="22"/>
                <w:lang w:val="en-GB"/>
              </w:rPr>
              <w:t xml:space="preserve">administration costs. </w:t>
            </w:r>
            <w:r w:rsidR="004915F3" w:rsidRPr="00BC7002">
              <w:rPr>
                <w:rFonts w:asciiTheme="minorHAnsi" w:hAnsiTheme="minorHAnsi"/>
                <w:sz w:val="22"/>
                <w:szCs w:val="22"/>
                <w:lang w:val="en-GB"/>
              </w:rPr>
              <w:t>This leave SoP funding more than 50% of the costs of the local bushfire brigades with $</w:t>
            </w:r>
            <w:r w:rsidR="004915F3" w:rsidRPr="00BC7002">
              <w:rPr>
                <w:rFonts w:asciiTheme="minorHAnsi" w:hAnsiTheme="minorHAnsi" w:cstheme="minorBidi"/>
                <w:sz w:val="22"/>
                <w:szCs w:val="22"/>
                <w:lang w:val="en-GB"/>
              </w:rPr>
              <w:t>72,643</w:t>
            </w:r>
            <w:r w:rsidR="004915F3" w:rsidRPr="00BC7002">
              <w:rPr>
                <w:rFonts w:asciiTheme="minorHAnsi" w:hAnsiTheme="minorHAnsi"/>
                <w:sz w:val="22"/>
                <w:szCs w:val="22"/>
                <w:lang w:val="en-GB"/>
              </w:rPr>
              <w:t xml:space="preserve"> received in 2022/23. </w:t>
            </w:r>
          </w:p>
        </w:tc>
        <w:tc>
          <w:tcPr>
            <w:tcW w:w="1478" w:type="dxa"/>
            <w:tcBorders>
              <w:right w:val="nil"/>
            </w:tcBorders>
          </w:tcPr>
          <w:p w14:paraId="6C3F2FCF" w14:textId="2041CBA4" w:rsidR="004915F3" w:rsidRPr="00BC7002" w:rsidRDefault="004915F3" w:rsidP="004915F3">
            <w:pPr>
              <w:jc w:val="right"/>
              <w:rPr>
                <w:rFonts w:asciiTheme="minorHAnsi" w:hAnsiTheme="minorHAnsi" w:cs="Calibri"/>
                <w:color w:val="000000"/>
                <w:sz w:val="22"/>
                <w:szCs w:val="22"/>
              </w:rPr>
            </w:pPr>
            <w:r w:rsidRPr="00BC7002">
              <w:rPr>
                <w:rFonts w:asciiTheme="minorHAnsi" w:hAnsiTheme="minorHAnsi" w:cs="Calibri"/>
                <w:color w:val="000000"/>
                <w:sz w:val="22"/>
                <w:szCs w:val="22"/>
              </w:rPr>
              <w:lastRenderedPageBreak/>
              <w:t>$</w:t>
            </w:r>
            <w:r w:rsidRPr="00BC7002">
              <w:rPr>
                <w:rFonts w:asciiTheme="minorHAnsi" w:hAnsiTheme="minorHAnsi" w:cs="Calibri"/>
                <w:color w:val="000000"/>
                <w:sz w:val="22"/>
                <w:szCs w:val="22"/>
              </w:rPr>
              <w:t>82,785</w:t>
            </w:r>
            <w:r w:rsidRPr="00BC7002">
              <w:rPr>
                <w:rFonts w:asciiTheme="minorHAnsi" w:hAnsiTheme="minorHAnsi" w:cs="Calibri"/>
                <w:color w:val="000000"/>
                <w:sz w:val="22"/>
                <w:szCs w:val="22"/>
              </w:rPr>
              <w:t xml:space="preserve"> (direct costs)</w:t>
            </w:r>
          </w:p>
          <w:p w14:paraId="60B89E8F" w14:textId="77777777" w:rsidR="004915F3" w:rsidRPr="00BC7002" w:rsidRDefault="004915F3" w:rsidP="004915F3">
            <w:pPr>
              <w:jc w:val="right"/>
              <w:rPr>
                <w:rFonts w:asciiTheme="minorHAnsi" w:hAnsiTheme="minorHAnsi" w:cs="Calibri"/>
                <w:color w:val="000000"/>
                <w:sz w:val="22"/>
                <w:szCs w:val="22"/>
              </w:rPr>
            </w:pPr>
          </w:p>
          <w:p w14:paraId="649191B2" w14:textId="77777777" w:rsidR="004915F3" w:rsidRPr="00BC7002" w:rsidRDefault="004915F3" w:rsidP="004915F3">
            <w:pPr>
              <w:jc w:val="right"/>
              <w:rPr>
                <w:rFonts w:asciiTheme="minorHAnsi" w:hAnsiTheme="minorHAnsi" w:cs="Calibri"/>
                <w:color w:val="000000"/>
                <w:sz w:val="22"/>
                <w:szCs w:val="22"/>
              </w:rPr>
            </w:pPr>
            <w:r w:rsidRPr="00BC7002">
              <w:rPr>
                <w:rFonts w:asciiTheme="minorHAnsi" w:hAnsiTheme="minorHAnsi" w:cs="Calibri"/>
                <w:color w:val="000000"/>
                <w:sz w:val="22"/>
                <w:szCs w:val="22"/>
              </w:rPr>
              <w:t xml:space="preserve">$15,000 </w:t>
            </w:r>
          </w:p>
          <w:p w14:paraId="307D451F" w14:textId="6B276F55" w:rsidR="004915F3" w:rsidRPr="00BC7002" w:rsidRDefault="004915F3" w:rsidP="004915F3">
            <w:pPr>
              <w:jc w:val="right"/>
              <w:rPr>
                <w:rFonts w:asciiTheme="minorHAnsi" w:hAnsiTheme="minorHAnsi" w:cs="Calibri"/>
                <w:color w:val="000000"/>
                <w:sz w:val="22"/>
                <w:szCs w:val="22"/>
              </w:rPr>
            </w:pPr>
            <w:r w:rsidRPr="00BC7002">
              <w:rPr>
                <w:rFonts w:asciiTheme="minorHAnsi" w:hAnsiTheme="minorHAnsi" w:cs="Calibri"/>
                <w:color w:val="000000"/>
                <w:sz w:val="22"/>
                <w:szCs w:val="22"/>
              </w:rPr>
              <w:t>(manager)</w:t>
            </w:r>
          </w:p>
          <w:p w14:paraId="4EB64165" w14:textId="77777777" w:rsidR="004915F3" w:rsidRPr="00BC7002" w:rsidRDefault="004915F3" w:rsidP="004915F3">
            <w:pPr>
              <w:jc w:val="right"/>
              <w:rPr>
                <w:rFonts w:asciiTheme="minorHAnsi" w:hAnsiTheme="minorHAnsi" w:cs="Calibri"/>
                <w:color w:val="000000"/>
                <w:sz w:val="22"/>
                <w:szCs w:val="22"/>
              </w:rPr>
            </w:pPr>
          </w:p>
          <w:p w14:paraId="44778AF8" w14:textId="77777777" w:rsidR="00530167" w:rsidRPr="00BC7002" w:rsidRDefault="00530167" w:rsidP="00216D45">
            <w:pPr>
              <w:pStyle w:val="Header"/>
              <w:jc w:val="right"/>
              <w:rPr>
                <w:rFonts w:asciiTheme="minorHAnsi" w:hAnsiTheme="minorHAnsi"/>
                <w:sz w:val="22"/>
                <w:szCs w:val="22"/>
                <w:lang w:val="en-GB"/>
              </w:rPr>
            </w:pPr>
          </w:p>
          <w:p w14:paraId="63A77B2E" w14:textId="77777777" w:rsidR="004915F3" w:rsidRPr="00BC7002" w:rsidRDefault="004915F3" w:rsidP="004915F3">
            <w:pPr>
              <w:rPr>
                <w:rFonts w:asciiTheme="minorHAnsi" w:hAnsiTheme="minorHAnsi"/>
                <w:sz w:val="22"/>
                <w:szCs w:val="22"/>
                <w:lang w:val="en-GB"/>
              </w:rPr>
            </w:pPr>
          </w:p>
          <w:p w14:paraId="0C8DFA6F" w14:textId="2B2D8BF9" w:rsidR="004915F3" w:rsidRPr="00BC7002" w:rsidRDefault="004915F3" w:rsidP="004915F3">
            <w:pPr>
              <w:tabs>
                <w:tab w:val="left" w:pos="1157"/>
              </w:tabs>
              <w:rPr>
                <w:rFonts w:asciiTheme="minorHAnsi" w:hAnsiTheme="minorHAnsi"/>
                <w:sz w:val="22"/>
                <w:szCs w:val="22"/>
                <w:lang w:val="en-GB"/>
              </w:rPr>
            </w:pPr>
            <w:r w:rsidRPr="00BC7002">
              <w:rPr>
                <w:rFonts w:asciiTheme="minorHAnsi" w:hAnsiTheme="minorHAnsi"/>
                <w:sz w:val="22"/>
                <w:szCs w:val="22"/>
                <w:lang w:val="en-GB"/>
              </w:rPr>
              <w:tab/>
            </w:r>
          </w:p>
        </w:tc>
      </w:tr>
      <w:tr w:rsidR="004915F3" w:rsidRPr="00BC7002" w14:paraId="25BC13BC" w14:textId="77777777" w:rsidTr="003C6782">
        <w:tc>
          <w:tcPr>
            <w:tcW w:w="2784" w:type="dxa"/>
            <w:tcBorders>
              <w:left w:val="nil"/>
            </w:tcBorders>
          </w:tcPr>
          <w:p w14:paraId="3C621D52" w14:textId="72CA3E13" w:rsidR="004915F3" w:rsidRPr="00BC7002" w:rsidRDefault="004915F3" w:rsidP="00761890">
            <w:pPr>
              <w:pStyle w:val="Header"/>
              <w:jc w:val="both"/>
              <w:rPr>
                <w:rFonts w:asciiTheme="minorHAnsi" w:hAnsiTheme="minorHAnsi"/>
                <w:sz w:val="22"/>
                <w:szCs w:val="22"/>
                <w:lang w:val="en-GB"/>
              </w:rPr>
            </w:pPr>
            <w:r w:rsidRPr="00BC7002">
              <w:rPr>
                <w:rFonts w:asciiTheme="minorHAnsi" w:hAnsiTheme="minorHAnsi"/>
                <w:sz w:val="22"/>
                <w:szCs w:val="22"/>
                <w:lang w:val="en-GB"/>
              </w:rPr>
              <w:lastRenderedPageBreak/>
              <w:t>State Emergency Services</w:t>
            </w:r>
          </w:p>
        </w:tc>
        <w:tc>
          <w:tcPr>
            <w:tcW w:w="5262" w:type="dxa"/>
          </w:tcPr>
          <w:p w14:paraId="1B0BA36A" w14:textId="7F345F30" w:rsidR="004915F3" w:rsidRPr="00BC7002" w:rsidRDefault="004915F3" w:rsidP="00761890">
            <w:pPr>
              <w:pStyle w:val="Header"/>
              <w:jc w:val="both"/>
              <w:rPr>
                <w:rFonts w:asciiTheme="minorHAnsi" w:hAnsiTheme="minorHAnsi"/>
                <w:sz w:val="22"/>
                <w:szCs w:val="22"/>
                <w:lang w:val="en-GB"/>
              </w:rPr>
            </w:pPr>
            <w:r w:rsidRPr="00BC7002">
              <w:rPr>
                <w:rFonts w:asciiTheme="minorHAnsi" w:hAnsiTheme="minorHAnsi"/>
                <w:sz w:val="22"/>
                <w:szCs w:val="22"/>
                <w:lang w:val="en-GB"/>
              </w:rPr>
              <w:t xml:space="preserve">Similarly to the bushfire brigades above, the SES is the responsibility of the state government. Unfortunately, they only provide operational funding of </w:t>
            </w:r>
            <w:r w:rsidRPr="00BC7002">
              <w:rPr>
                <w:rFonts w:asciiTheme="minorHAnsi" w:hAnsiTheme="minorHAnsi"/>
                <w:sz w:val="22"/>
                <w:szCs w:val="22"/>
                <w:lang w:val="en-GB"/>
              </w:rPr>
              <w:t>$</w:t>
            </w:r>
            <w:r w:rsidRPr="004915F3">
              <w:rPr>
                <w:rFonts w:asciiTheme="minorHAnsi" w:eastAsiaTheme="minorHAnsi" w:hAnsiTheme="minorHAnsi" w:cstheme="minorBidi"/>
                <w:sz w:val="22"/>
                <w:szCs w:val="22"/>
                <w:lang w:val="en-GB" w:eastAsia="en-US"/>
              </w:rPr>
              <w:t>32,603</w:t>
            </w:r>
            <w:r w:rsidRPr="00BC7002">
              <w:rPr>
                <w:rFonts w:asciiTheme="minorHAnsi" w:hAnsiTheme="minorHAnsi"/>
                <w:sz w:val="22"/>
                <w:szCs w:val="22"/>
                <w:lang w:val="en-GB"/>
              </w:rPr>
              <w:t xml:space="preserve">. This is less then 1/3 of the real cost. </w:t>
            </w:r>
          </w:p>
        </w:tc>
        <w:tc>
          <w:tcPr>
            <w:tcW w:w="1478" w:type="dxa"/>
            <w:tcBorders>
              <w:right w:val="nil"/>
            </w:tcBorders>
          </w:tcPr>
          <w:p w14:paraId="25424BA5" w14:textId="762C24CC" w:rsidR="004915F3" w:rsidRPr="00BC7002" w:rsidRDefault="004915F3" w:rsidP="004915F3">
            <w:pPr>
              <w:jc w:val="right"/>
              <w:rPr>
                <w:rFonts w:asciiTheme="minorHAnsi" w:hAnsiTheme="minorHAnsi" w:cs="Calibri"/>
                <w:color w:val="000000"/>
                <w:sz w:val="22"/>
                <w:szCs w:val="22"/>
              </w:rPr>
            </w:pPr>
            <w:r w:rsidRPr="00BC7002">
              <w:rPr>
                <w:rFonts w:asciiTheme="minorHAnsi" w:hAnsiTheme="minorHAnsi" w:cs="Calibri"/>
                <w:color w:val="000000"/>
                <w:sz w:val="22"/>
                <w:szCs w:val="22"/>
              </w:rPr>
              <w:t>$</w:t>
            </w:r>
            <w:r w:rsidRPr="00BC7002">
              <w:rPr>
                <w:rFonts w:asciiTheme="minorHAnsi" w:hAnsiTheme="minorHAnsi" w:cs="Calibri"/>
                <w:color w:val="000000"/>
                <w:sz w:val="22"/>
                <w:szCs w:val="22"/>
              </w:rPr>
              <w:t>71,322</w:t>
            </w:r>
            <w:r w:rsidRPr="00BC7002">
              <w:rPr>
                <w:rFonts w:asciiTheme="minorHAnsi" w:hAnsiTheme="minorHAnsi" w:cs="Calibri"/>
                <w:color w:val="000000"/>
                <w:sz w:val="22"/>
                <w:szCs w:val="22"/>
              </w:rPr>
              <w:t xml:space="preserve"> (direct costs)</w:t>
            </w:r>
          </w:p>
          <w:p w14:paraId="2888DE12" w14:textId="77777777" w:rsidR="004915F3" w:rsidRPr="00BC7002" w:rsidRDefault="004915F3" w:rsidP="004915F3">
            <w:pPr>
              <w:jc w:val="right"/>
              <w:rPr>
                <w:rFonts w:asciiTheme="minorHAnsi" w:hAnsiTheme="minorHAnsi" w:cs="Calibri"/>
                <w:color w:val="000000"/>
                <w:sz w:val="22"/>
                <w:szCs w:val="22"/>
              </w:rPr>
            </w:pPr>
          </w:p>
        </w:tc>
      </w:tr>
      <w:tr w:rsidR="004915F3" w:rsidRPr="00BC7002" w14:paraId="7F9807B3" w14:textId="77777777" w:rsidTr="003C6782">
        <w:tc>
          <w:tcPr>
            <w:tcW w:w="2784" w:type="dxa"/>
            <w:tcBorders>
              <w:left w:val="nil"/>
              <w:bottom w:val="single" w:sz="4" w:space="0" w:color="auto"/>
            </w:tcBorders>
          </w:tcPr>
          <w:p w14:paraId="2C7718CA" w14:textId="1B07FE57" w:rsidR="004915F3" w:rsidRPr="00BC7002" w:rsidRDefault="004915F3" w:rsidP="00761890">
            <w:pPr>
              <w:pStyle w:val="Header"/>
              <w:jc w:val="both"/>
              <w:rPr>
                <w:rFonts w:asciiTheme="minorHAnsi" w:hAnsiTheme="minorHAnsi"/>
                <w:sz w:val="22"/>
                <w:szCs w:val="22"/>
                <w:lang w:val="en-GB"/>
              </w:rPr>
            </w:pPr>
            <w:r w:rsidRPr="00BC7002">
              <w:rPr>
                <w:rFonts w:asciiTheme="minorHAnsi" w:hAnsiTheme="minorHAnsi"/>
                <w:sz w:val="22"/>
                <w:szCs w:val="22"/>
                <w:lang w:val="en-GB"/>
              </w:rPr>
              <w:t>Street Lighting</w:t>
            </w:r>
          </w:p>
        </w:tc>
        <w:tc>
          <w:tcPr>
            <w:tcW w:w="5262" w:type="dxa"/>
            <w:tcBorders>
              <w:bottom w:val="single" w:sz="4" w:space="0" w:color="auto"/>
            </w:tcBorders>
          </w:tcPr>
          <w:p w14:paraId="6FFEB653" w14:textId="7FD11BCF" w:rsidR="004915F3" w:rsidRPr="00BC7002" w:rsidRDefault="004915F3" w:rsidP="00761890">
            <w:pPr>
              <w:pStyle w:val="Header"/>
              <w:jc w:val="both"/>
              <w:rPr>
                <w:rFonts w:asciiTheme="minorHAnsi" w:hAnsiTheme="minorHAnsi"/>
                <w:sz w:val="22"/>
                <w:szCs w:val="22"/>
                <w:lang w:val="en-GB"/>
              </w:rPr>
            </w:pPr>
            <w:r w:rsidRPr="00BC7002">
              <w:rPr>
                <w:rFonts w:asciiTheme="minorHAnsi" w:hAnsiTheme="minorHAnsi"/>
                <w:sz w:val="22"/>
                <w:szCs w:val="22"/>
                <w:lang w:val="en-GB"/>
              </w:rPr>
              <w:t>To provide a base load to the power grid</w:t>
            </w:r>
            <w:r w:rsidR="003C6782" w:rsidRPr="00BC7002">
              <w:rPr>
                <w:rFonts w:asciiTheme="minorHAnsi" w:hAnsiTheme="minorHAnsi"/>
                <w:sz w:val="22"/>
                <w:szCs w:val="22"/>
                <w:lang w:val="en-GB"/>
              </w:rPr>
              <w:t xml:space="preserve"> at off peak times, no reduction in power costs is passed on to local governments if LED bulbs are used. This discourages most from taking this step. It is estimated that at least 30% savings would be achieved if the system accommodated energy savings from LED bulbs. This does not include the greater longevity arising from LEDs or the improvement in lighting our streets. </w:t>
            </w:r>
          </w:p>
        </w:tc>
        <w:tc>
          <w:tcPr>
            <w:tcW w:w="1478" w:type="dxa"/>
            <w:tcBorders>
              <w:bottom w:val="single" w:sz="4" w:space="0" w:color="auto"/>
              <w:right w:val="nil"/>
            </w:tcBorders>
          </w:tcPr>
          <w:p w14:paraId="19A59028" w14:textId="47E6D4C3" w:rsidR="004915F3" w:rsidRPr="00BC7002" w:rsidRDefault="003C6782" w:rsidP="004915F3">
            <w:pPr>
              <w:jc w:val="right"/>
              <w:rPr>
                <w:rFonts w:asciiTheme="minorHAnsi" w:hAnsiTheme="minorHAnsi" w:cs="Calibri"/>
                <w:color w:val="000000"/>
                <w:sz w:val="22"/>
                <w:szCs w:val="22"/>
              </w:rPr>
            </w:pPr>
            <w:r w:rsidRPr="00BC7002">
              <w:rPr>
                <w:rFonts w:asciiTheme="minorHAnsi" w:hAnsiTheme="minorHAnsi" w:cs="Calibri"/>
                <w:color w:val="000000"/>
                <w:sz w:val="22"/>
                <w:szCs w:val="22"/>
              </w:rPr>
              <w:t>$10,281</w:t>
            </w:r>
          </w:p>
        </w:tc>
      </w:tr>
      <w:tr w:rsidR="003C6782" w:rsidRPr="00BC7002" w14:paraId="49C20728" w14:textId="77777777" w:rsidTr="003C6782">
        <w:tc>
          <w:tcPr>
            <w:tcW w:w="2784" w:type="dxa"/>
            <w:tcBorders>
              <w:left w:val="nil"/>
              <w:bottom w:val="single" w:sz="4" w:space="0" w:color="auto"/>
            </w:tcBorders>
          </w:tcPr>
          <w:p w14:paraId="6DD5B980" w14:textId="6BB43FD6" w:rsidR="003C6782" w:rsidRPr="00BC7002" w:rsidRDefault="003C6782" w:rsidP="003C6782">
            <w:pPr>
              <w:pStyle w:val="Header"/>
              <w:jc w:val="right"/>
              <w:rPr>
                <w:rFonts w:asciiTheme="minorHAnsi" w:hAnsiTheme="minorHAnsi"/>
                <w:b/>
                <w:bCs/>
                <w:sz w:val="22"/>
                <w:szCs w:val="22"/>
                <w:lang w:val="en-GB"/>
              </w:rPr>
            </w:pPr>
            <w:r w:rsidRPr="00BC7002">
              <w:rPr>
                <w:rFonts w:asciiTheme="minorHAnsi" w:hAnsiTheme="minorHAnsi"/>
                <w:b/>
                <w:bCs/>
                <w:sz w:val="22"/>
                <w:szCs w:val="22"/>
                <w:lang w:val="en-GB"/>
              </w:rPr>
              <w:t>Total</w:t>
            </w:r>
          </w:p>
        </w:tc>
        <w:tc>
          <w:tcPr>
            <w:tcW w:w="5262" w:type="dxa"/>
            <w:tcBorders>
              <w:bottom w:val="single" w:sz="4" w:space="0" w:color="auto"/>
            </w:tcBorders>
          </w:tcPr>
          <w:p w14:paraId="3B3A667A" w14:textId="77777777" w:rsidR="003C6782" w:rsidRPr="00BC7002" w:rsidRDefault="003C6782" w:rsidP="003C6782">
            <w:pPr>
              <w:pStyle w:val="Header"/>
              <w:jc w:val="right"/>
              <w:rPr>
                <w:rFonts w:asciiTheme="minorHAnsi" w:hAnsiTheme="minorHAnsi"/>
                <w:b/>
                <w:bCs/>
                <w:sz w:val="22"/>
                <w:szCs w:val="22"/>
                <w:lang w:val="en-GB"/>
              </w:rPr>
            </w:pPr>
          </w:p>
        </w:tc>
        <w:tc>
          <w:tcPr>
            <w:tcW w:w="1478" w:type="dxa"/>
            <w:tcBorders>
              <w:bottom w:val="single" w:sz="4" w:space="0" w:color="auto"/>
              <w:right w:val="nil"/>
            </w:tcBorders>
          </w:tcPr>
          <w:p w14:paraId="4A7A1D47" w14:textId="5BF6E579" w:rsidR="003C6782" w:rsidRPr="00BC7002" w:rsidRDefault="003C6782" w:rsidP="003C6782">
            <w:pPr>
              <w:jc w:val="right"/>
              <w:rPr>
                <w:rFonts w:asciiTheme="minorHAnsi" w:hAnsiTheme="minorHAnsi" w:cs="Calibri"/>
                <w:b/>
                <w:bCs/>
                <w:color w:val="000000"/>
                <w:sz w:val="22"/>
                <w:szCs w:val="22"/>
              </w:rPr>
            </w:pPr>
            <w:r w:rsidRPr="00BC7002">
              <w:rPr>
                <w:rFonts w:asciiTheme="minorHAnsi" w:hAnsiTheme="minorHAnsi" w:cs="Calibri"/>
                <w:b/>
                <w:bCs/>
                <w:color w:val="000000"/>
                <w:sz w:val="22"/>
                <w:szCs w:val="22"/>
              </w:rPr>
              <w:t>$380,399</w:t>
            </w:r>
          </w:p>
        </w:tc>
      </w:tr>
    </w:tbl>
    <w:p w14:paraId="7537E2F6" w14:textId="35679166" w:rsidR="00761890" w:rsidRDefault="00761890" w:rsidP="00761890">
      <w:pPr>
        <w:pStyle w:val="Header"/>
        <w:jc w:val="both"/>
        <w:rPr>
          <w:lang w:val="en-GB"/>
        </w:rPr>
      </w:pPr>
    </w:p>
    <w:p w14:paraId="20A168E3" w14:textId="77777777" w:rsidR="00340996" w:rsidRDefault="001C363A" w:rsidP="00761890">
      <w:pPr>
        <w:pStyle w:val="Header"/>
        <w:jc w:val="both"/>
        <w:rPr>
          <w:lang w:val="en-GB"/>
        </w:rPr>
      </w:pPr>
      <w:r>
        <w:rPr>
          <w:lang w:val="en-GB"/>
        </w:rPr>
        <w:t xml:space="preserve">The compliance and legislative requirements costed the Shire of Pingelly $625,638 or 26% of rates income in the 2022/23 financial year. This represents missed opportunities for the local community and businesses as this money could have been put to a productive use. </w:t>
      </w:r>
    </w:p>
    <w:p w14:paraId="4B96A98F" w14:textId="77777777" w:rsidR="00340996" w:rsidRDefault="00340996" w:rsidP="00761890">
      <w:pPr>
        <w:pStyle w:val="Header"/>
        <w:jc w:val="both"/>
        <w:rPr>
          <w:lang w:val="en-GB"/>
        </w:rPr>
      </w:pPr>
    </w:p>
    <w:p w14:paraId="6AD1D611" w14:textId="1576BBCF" w:rsidR="001C363A" w:rsidRDefault="001C363A" w:rsidP="00761890">
      <w:pPr>
        <w:pStyle w:val="Header"/>
        <w:jc w:val="both"/>
        <w:rPr>
          <w:lang w:val="en-GB"/>
        </w:rPr>
      </w:pPr>
      <w:r>
        <w:rPr>
          <w:lang w:val="en-GB"/>
        </w:rPr>
        <w:t xml:space="preserve">These requirements and government enforced wastage applies to all local governments. </w:t>
      </w:r>
      <w:r w:rsidR="00340996">
        <w:rPr>
          <w:lang w:val="en-GB"/>
        </w:rPr>
        <w:t xml:space="preserve">The total rates income across all 139 local governments for 2022/2023 is estimated to be $2,753,032,515. This is based on the 2020/21 figures from mycouncil.wa.gov.au with a 4% increase in each of the two intervening financial years to estimate a 2022/23 figure. If each local government experiences a similar impact from compliance and legislative requirements, and there is no reason to think that they do not, the financial impact </w:t>
      </w:r>
      <w:r w:rsidR="00B40C78">
        <w:rPr>
          <w:lang w:val="en-GB"/>
        </w:rPr>
        <w:t xml:space="preserve">in Western Australia alone </w:t>
      </w:r>
      <w:r w:rsidR="00340996">
        <w:rPr>
          <w:lang w:val="en-GB"/>
        </w:rPr>
        <w:t xml:space="preserve">would be $715 million per year. </w:t>
      </w:r>
    </w:p>
    <w:p w14:paraId="57DA5306" w14:textId="77777777" w:rsidR="00340996" w:rsidRDefault="00340996" w:rsidP="000B5268">
      <w:pPr>
        <w:pStyle w:val="Header"/>
        <w:jc w:val="both"/>
        <w:rPr>
          <w:lang w:val="en-GB"/>
        </w:rPr>
      </w:pPr>
    </w:p>
    <w:p w14:paraId="5E852F9E" w14:textId="77777777" w:rsidR="00B40C78" w:rsidRDefault="00B40C78" w:rsidP="00B40C78">
      <w:pPr>
        <w:pStyle w:val="Header"/>
        <w:rPr>
          <w:b/>
          <w:bCs/>
          <w:sz w:val="26"/>
          <w:szCs w:val="26"/>
          <w:lang w:val="en-GB"/>
        </w:rPr>
      </w:pPr>
      <w:r>
        <w:rPr>
          <w:b/>
          <w:bCs/>
          <w:sz w:val="26"/>
          <w:szCs w:val="26"/>
          <w:lang w:val="en-GB"/>
        </w:rPr>
        <w:t>Regional S</w:t>
      </w:r>
      <w:r w:rsidR="00761890" w:rsidRPr="00B40C78">
        <w:rPr>
          <w:b/>
          <w:bCs/>
          <w:sz w:val="26"/>
          <w:szCs w:val="26"/>
          <w:lang w:val="en-GB"/>
        </w:rPr>
        <w:t>ervice</w:t>
      </w:r>
      <w:r>
        <w:rPr>
          <w:b/>
          <w:bCs/>
          <w:sz w:val="26"/>
          <w:szCs w:val="26"/>
          <w:lang w:val="en-GB"/>
        </w:rPr>
        <w:t xml:space="preserve"> Gaps</w:t>
      </w:r>
    </w:p>
    <w:p w14:paraId="60AA4F37" w14:textId="6FC7D3E1" w:rsidR="00DD12BD" w:rsidRDefault="00DD12BD" w:rsidP="00DD12BD">
      <w:pPr>
        <w:pStyle w:val="Header"/>
        <w:jc w:val="both"/>
        <w:rPr>
          <w:lang w:val="en-GB"/>
        </w:rPr>
      </w:pPr>
      <w:r>
        <w:rPr>
          <w:lang w:val="en-GB"/>
        </w:rPr>
        <w:t>In regional towns such as Pingelly, many services are not provided by the State and Commonwealth Governments. However, some of these services are essential to modern life, leaving either volunteers or the local government to pick up the pieces. For SoP, these</w:t>
      </w:r>
      <w:r>
        <w:rPr>
          <w:lang w:val="en-GB"/>
        </w:rPr>
        <w:t xml:space="preserve"> add up to </w:t>
      </w:r>
      <w:r w:rsidRPr="001C363A">
        <w:rPr>
          <w:lang w:val="en-GB"/>
        </w:rPr>
        <w:t>$</w:t>
      </w:r>
      <w:r>
        <w:rPr>
          <w:lang w:val="en-GB"/>
        </w:rPr>
        <w:t>232,443</w:t>
      </w:r>
      <w:r>
        <w:rPr>
          <w:lang w:val="en-GB"/>
        </w:rPr>
        <w:t xml:space="preserve"> or </w:t>
      </w:r>
      <w:r>
        <w:rPr>
          <w:lang w:val="en-GB"/>
        </w:rPr>
        <w:t>9.8</w:t>
      </w:r>
      <w:r>
        <w:rPr>
          <w:lang w:val="en-GB"/>
        </w:rPr>
        <w:t xml:space="preserve">% of the annual rate income and are detailed below: </w:t>
      </w:r>
    </w:p>
    <w:p w14:paraId="6DD329A6" w14:textId="6C59B6AF" w:rsidR="00761890" w:rsidRPr="00B40C78" w:rsidRDefault="00761890" w:rsidP="00B40C78">
      <w:pPr>
        <w:pStyle w:val="Header"/>
        <w:jc w:val="both"/>
        <w:rPr>
          <w:lang w:val="en-GB"/>
        </w:rPr>
      </w:pPr>
      <w:r w:rsidRPr="00B40C78">
        <w:rPr>
          <w:lang w:val="en-GB"/>
        </w:rPr>
        <w:t xml:space="preserve"> </w:t>
      </w:r>
    </w:p>
    <w:tbl>
      <w:tblPr>
        <w:tblStyle w:val="TableGrid"/>
        <w:tblW w:w="0" w:type="auto"/>
        <w:tblLook w:val="04A0" w:firstRow="1" w:lastRow="0" w:firstColumn="1" w:lastColumn="0" w:noHBand="0" w:noVBand="1"/>
      </w:tblPr>
      <w:tblGrid>
        <w:gridCol w:w="2830"/>
        <w:gridCol w:w="5387"/>
        <w:gridCol w:w="1297"/>
      </w:tblGrid>
      <w:tr w:rsidR="003C6782" w:rsidRPr="00BC7002" w14:paraId="1233C260" w14:textId="77777777" w:rsidTr="00BC7002">
        <w:tc>
          <w:tcPr>
            <w:tcW w:w="9514" w:type="dxa"/>
            <w:gridSpan w:val="3"/>
            <w:tcBorders>
              <w:top w:val="nil"/>
              <w:left w:val="nil"/>
              <w:bottom w:val="single" w:sz="4" w:space="0" w:color="auto"/>
              <w:right w:val="nil"/>
            </w:tcBorders>
          </w:tcPr>
          <w:p w14:paraId="70734BE7" w14:textId="786CAD5E" w:rsidR="003C6782" w:rsidRPr="00091AE1" w:rsidRDefault="00B40C78" w:rsidP="00BC7002">
            <w:pPr>
              <w:pStyle w:val="Header"/>
              <w:jc w:val="center"/>
              <w:rPr>
                <w:rFonts w:asciiTheme="minorHAnsi" w:hAnsiTheme="minorHAnsi"/>
                <w:b/>
                <w:bCs/>
                <w:sz w:val="22"/>
                <w:szCs w:val="22"/>
                <w:lang w:val="en-GB"/>
              </w:rPr>
            </w:pPr>
            <w:r w:rsidRPr="00091AE1">
              <w:rPr>
                <w:rFonts w:asciiTheme="minorHAnsi" w:hAnsiTheme="minorHAnsi"/>
                <w:b/>
                <w:bCs/>
                <w:sz w:val="22"/>
                <w:szCs w:val="22"/>
                <w:lang w:val="en-GB"/>
              </w:rPr>
              <w:t xml:space="preserve">Regional </w:t>
            </w:r>
            <w:r w:rsidR="003C6782" w:rsidRPr="00091AE1">
              <w:rPr>
                <w:rFonts w:asciiTheme="minorHAnsi" w:hAnsiTheme="minorHAnsi"/>
                <w:b/>
                <w:bCs/>
                <w:sz w:val="22"/>
                <w:szCs w:val="22"/>
                <w:lang w:val="en-GB"/>
              </w:rPr>
              <w:t>Services Gaps</w:t>
            </w:r>
            <w:r w:rsidR="003C6782" w:rsidRPr="00091AE1">
              <w:rPr>
                <w:rFonts w:asciiTheme="minorHAnsi" w:hAnsiTheme="minorHAnsi"/>
                <w:b/>
                <w:bCs/>
                <w:sz w:val="22"/>
                <w:szCs w:val="22"/>
                <w:lang w:val="en-GB"/>
              </w:rPr>
              <w:t xml:space="preserve"> (2022/23 Financial Year)</w:t>
            </w:r>
          </w:p>
        </w:tc>
      </w:tr>
      <w:tr w:rsidR="003C6782" w:rsidRPr="00BC7002" w14:paraId="3E4F97AE" w14:textId="77777777" w:rsidTr="00BC7002">
        <w:tc>
          <w:tcPr>
            <w:tcW w:w="2830" w:type="dxa"/>
            <w:tcBorders>
              <w:top w:val="single" w:sz="4" w:space="0" w:color="auto"/>
              <w:left w:val="nil"/>
            </w:tcBorders>
          </w:tcPr>
          <w:p w14:paraId="66B48E40" w14:textId="77777777" w:rsidR="003C6782" w:rsidRPr="00BC7002" w:rsidRDefault="003C6782" w:rsidP="00D84013">
            <w:pPr>
              <w:pStyle w:val="Header"/>
              <w:jc w:val="both"/>
              <w:rPr>
                <w:rFonts w:asciiTheme="minorHAnsi" w:hAnsiTheme="minorHAnsi"/>
                <w:sz w:val="22"/>
                <w:szCs w:val="22"/>
                <w:lang w:val="en-GB"/>
              </w:rPr>
            </w:pPr>
          </w:p>
        </w:tc>
        <w:tc>
          <w:tcPr>
            <w:tcW w:w="5387" w:type="dxa"/>
            <w:tcBorders>
              <w:top w:val="single" w:sz="4" w:space="0" w:color="auto"/>
            </w:tcBorders>
          </w:tcPr>
          <w:p w14:paraId="37C221FD" w14:textId="77777777" w:rsidR="003C6782" w:rsidRPr="00BC7002" w:rsidRDefault="003C6782" w:rsidP="00D84013">
            <w:pPr>
              <w:pStyle w:val="Header"/>
              <w:jc w:val="both"/>
              <w:rPr>
                <w:rFonts w:asciiTheme="minorHAnsi" w:hAnsiTheme="minorHAnsi"/>
                <w:sz w:val="22"/>
                <w:szCs w:val="22"/>
                <w:lang w:val="en-GB"/>
              </w:rPr>
            </w:pPr>
            <w:r w:rsidRPr="00BC7002">
              <w:rPr>
                <w:rFonts w:asciiTheme="minorHAnsi" w:hAnsiTheme="minorHAnsi"/>
                <w:sz w:val="22"/>
                <w:szCs w:val="22"/>
                <w:lang w:val="en-GB"/>
              </w:rPr>
              <w:t>Description</w:t>
            </w:r>
          </w:p>
        </w:tc>
        <w:tc>
          <w:tcPr>
            <w:tcW w:w="1297" w:type="dxa"/>
            <w:tcBorders>
              <w:top w:val="single" w:sz="4" w:space="0" w:color="auto"/>
              <w:right w:val="nil"/>
            </w:tcBorders>
          </w:tcPr>
          <w:p w14:paraId="2D9EC09A" w14:textId="77777777" w:rsidR="003C6782" w:rsidRPr="00BC7002" w:rsidRDefault="003C6782" w:rsidP="00BC7002">
            <w:pPr>
              <w:pStyle w:val="Header"/>
              <w:jc w:val="both"/>
              <w:rPr>
                <w:rFonts w:asciiTheme="minorHAnsi" w:hAnsiTheme="minorHAnsi"/>
                <w:sz w:val="22"/>
                <w:szCs w:val="22"/>
                <w:lang w:val="en-GB"/>
              </w:rPr>
            </w:pPr>
            <w:r w:rsidRPr="00BC7002">
              <w:rPr>
                <w:rFonts w:asciiTheme="minorHAnsi" w:hAnsiTheme="minorHAnsi"/>
                <w:sz w:val="22"/>
                <w:szCs w:val="22"/>
                <w:lang w:val="en-GB"/>
              </w:rPr>
              <w:t>Cost</w:t>
            </w:r>
          </w:p>
        </w:tc>
      </w:tr>
      <w:tr w:rsidR="003C6782" w:rsidRPr="00BC7002" w14:paraId="6094E0F1" w14:textId="77777777" w:rsidTr="00D84013">
        <w:tc>
          <w:tcPr>
            <w:tcW w:w="2830" w:type="dxa"/>
            <w:tcBorders>
              <w:left w:val="nil"/>
            </w:tcBorders>
          </w:tcPr>
          <w:p w14:paraId="0E7ACFD9" w14:textId="53FF996B" w:rsidR="003C6782" w:rsidRPr="00BC7002" w:rsidRDefault="003C6782" w:rsidP="00D84013">
            <w:pPr>
              <w:pStyle w:val="Header"/>
              <w:jc w:val="both"/>
              <w:rPr>
                <w:rFonts w:asciiTheme="minorHAnsi" w:hAnsiTheme="minorHAnsi"/>
                <w:sz w:val="22"/>
                <w:szCs w:val="22"/>
                <w:lang w:val="en-GB"/>
              </w:rPr>
            </w:pPr>
            <w:r w:rsidRPr="00BC7002">
              <w:rPr>
                <w:rFonts w:asciiTheme="minorHAnsi" w:hAnsiTheme="minorHAnsi"/>
                <w:sz w:val="22"/>
                <w:szCs w:val="22"/>
                <w:lang w:val="en-GB"/>
              </w:rPr>
              <w:t>WIFI</w:t>
            </w:r>
          </w:p>
        </w:tc>
        <w:tc>
          <w:tcPr>
            <w:tcW w:w="5387" w:type="dxa"/>
          </w:tcPr>
          <w:p w14:paraId="18845EF3" w14:textId="7CCBFC2E" w:rsidR="003C6782" w:rsidRPr="00BC7002" w:rsidRDefault="00B40C78" w:rsidP="00D84013">
            <w:pPr>
              <w:pStyle w:val="Header"/>
              <w:jc w:val="both"/>
              <w:rPr>
                <w:rFonts w:asciiTheme="minorHAnsi" w:hAnsiTheme="minorHAnsi"/>
                <w:sz w:val="22"/>
                <w:szCs w:val="22"/>
                <w:lang w:val="en-GB"/>
              </w:rPr>
            </w:pPr>
            <w:r w:rsidRPr="00BC7002">
              <w:rPr>
                <w:rFonts w:asciiTheme="minorHAnsi" w:hAnsiTheme="minorHAnsi"/>
                <w:sz w:val="22"/>
                <w:szCs w:val="22"/>
                <w:lang w:val="en-GB"/>
              </w:rPr>
              <w:t>Mobile phone coverage is patchy at best in the Pingelly Town Centre, despite being a well-established town within 1.5 hours from a capital city. This entrenches the socio-economic disparity and disadvantage that Pingelly experiences as one of the 7</w:t>
            </w:r>
            <w:r w:rsidR="006E630F" w:rsidRPr="00BC7002">
              <w:rPr>
                <w:rFonts w:asciiTheme="minorHAnsi" w:hAnsiTheme="minorHAnsi"/>
                <w:sz w:val="22"/>
                <w:szCs w:val="22"/>
                <w:lang w:val="en-GB"/>
              </w:rPr>
              <w:t xml:space="preserve">% worst disadvantaged places in Australia </w:t>
            </w:r>
            <w:r w:rsidR="006E630F" w:rsidRPr="00BC7002">
              <w:rPr>
                <w:rFonts w:asciiTheme="minorHAnsi" w:hAnsiTheme="minorHAnsi"/>
                <w:sz w:val="22"/>
                <w:szCs w:val="22"/>
                <w:lang w:val="en-GB"/>
              </w:rPr>
              <w:t>(Socio-Economic Indexes for Areas rankings</w:t>
            </w:r>
            <w:r w:rsidR="006E630F" w:rsidRPr="00BC7002">
              <w:rPr>
                <w:rFonts w:asciiTheme="minorHAnsi" w:hAnsiTheme="minorHAnsi"/>
                <w:sz w:val="22"/>
                <w:szCs w:val="22"/>
                <w:lang w:val="en-GB"/>
              </w:rPr>
              <w:t>)</w:t>
            </w:r>
            <w:r w:rsidRPr="00BC7002">
              <w:rPr>
                <w:rFonts w:asciiTheme="minorHAnsi" w:hAnsiTheme="minorHAnsi"/>
                <w:sz w:val="22"/>
                <w:szCs w:val="22"/>
                <w:lang w:val="en-GB"/>
              </w:rPr>
              <w:t xml:space="preserve">. </w:t>
            </w:r>
            <w:r w:rsidR="003C6782" w:rsidRPr="00BC7002">
              <w:rPr>
                <w:rFonts w:asciiTheme="minorHAnsi" w:hAnsiTheme="minorHAnsi"/>
                <w:sz w:val="22"/>
                <w:szCs w:val="22"/>
                <w:lang w:val="en-GB"/>
              </w:rPr>
              <w:t xml:space="preserve"> </w:t>
            </w:r>
            <w:r w:rsidR="006E630F" w:rsidRPr="00BC7002">
              <w:rPr>
                <w:rFonts w:asciiTheme="minorHAnsi" w:hAnsiTheme="minorHAnsi"/>
                <w:sz w:val="22"/>
                <w:szCs w:val="22"/>
                <w:lang w:val="en-GB"/>
              </w:rPr>
              <w:t xml:space="preserve">To attempt to rectify the inability place calls or use mobile data, the Shire has installed public WIFI in limited locations. </w:t>
            </w:r>
          </w:p>
        </w:tc>
        <w:tc>
          <w:tcPr>
            <w:tcW w:w="1297" w:type="dxa"/>
            <w:tcBorders>
              <w:right w:val="nil"/>
            </w:tcBorders>
          </w:tcPr>
          <w:p w14:paraId="293B3CB6" w14:textId="2ADA128B" w:rsidR="003C6782" w:rsidRPr="00BC7002" w:rsidRDefault="003C6782" w:rsidP="00BC7002">
            <w:pPr>
              <w:pStyle w:val="Header"/>
              <w:jc w:val="both"/>
              <w:rPr>
                <w:rFonts w:asciiTheme="minorHAnsi" w:hAnsiTheme="minorHAnsi"/>
                <w:sz w:val="22"/>
                <w:szCs w:val="22"/>
                <w:lang w:val="en-GB"/>
              </w:rPr>
            </w:pPr>
            <w:r w:rsidRPr="00BC7002">
              <w:rPr>
                <w:rFonts w:asciiTheme="minorHAnsi" w:hAnsiTheme="minorHAnsi"/>
                <w:sz w:val="22"/>
                <w:szCs w:val="22"/>
                <w:lang w:val="en-GB"/>
              </w:rPr>
              <w:t>$</w:t>
            </w:r>
            <w:r w:rsidR="006E630F" w:rsidRPr="00BC7002">
              <w:rPr>
                <w:rFonts w:asciiTheme="minorHAnsi" w:hAnsiTheme="minorHAnsi"/>
                <w:sz w:val="22"/>
                <w:szCs w:val="22"/>
                <w:lang w:val="en-GB"/>
              </w:rPr>
              <w:t>10,000</w:t>
            </w:r>
          </w:p>
        </w:tc>
      </w:tr>
      <w:tr w:rsidR="003C6782" w:rsidRPr="00BC7002" w14:paraId="079CD97B" w14:textId="77777777" w:rsidTr="00D84013">
        <w:tc>
          <w:tcPr>
            <w:tcW w:w="2830" w:type="dxa"/>
            <w:tcBorders>
              <w:left w:val="nil"/>
            </w:tcBorders>
          </w:tcPr>
          <w:p w14:paraId="4A865AB0" w14:textId="56D738CF" w:rsidR="003C6782" w:rsidRPr="00BC7002" w:rsidRDefault="003C6782" w:rsidP="00D84013">
            <w:pPr>
              <w:pStyle w:val="Header"/>
              <w:jc w:val="both"/>
              <w:rPr>
                <w:rFonts w:asciiTheme="minorHAnsi" w:hAnsiTheme="minorHAnsi"/>
                <w:sz w:val="22"/>
                <w:szCs w:val="22"/>
                <w:lang w:val="en-GB"/>
              </w:rPr>
            </w:pPr>
            <w:r w:rsidRPr="00BC7002">
              <w:rPr>
                <w:rFonts w:asciiTheme="minorHAnsi" w:hAnsiTheme="minorHAnsi"/>
                <w:sz w:val="22"/>
                <w:szCs w:val="22"/>
                <w:lang w:val="en-GB"/>
              </w:rPr>
              <w:t>CCTV</w:t>
            </w:r>
          </w:p>
        </w:tc>
        <w:tc>
          <w:tcPr>
            <w:tcW w:w="5387" w:type="dxa"/>
          </w:tcPr>
          <w:p w14:paraId="1F51E350" w14:textId="6948E3B5" w:rsidR="003C6782" w:rsidRPr="00BC7002" w:rsidRDefault="006E630F" w:rsidP="00D84013">
            <w:pPr>
              <w:pStyle w:val="Header"/>
              <w:jc w:val="both"/>
              <w:rPr>
                <w:rFonts w:asciiTheme="minorHAnsi" w:hAnsiTheme="minorHAnsi"/>
                <w:sz w:val="22"/>
                <w:szCs w:val="22"/>
                <w:lang w:val="en-GB"/>
              </w:rPr>
            </w:pPr>
            <w:r w:rsidRPr="00BC7002">
              <w:rPr>
                <w:rFonts w:asciiTheme="minorHAnsi" w:hAnsiTheme="minorHAnsi"/>
                <w:sz w:val="22"/>
                <w:szCs w:val="22"/>
                <w:lang w:val="en-GB"/>
              </w:rPr>
              <w:t>The provision of CCTV has been devolved by effect to local government as other levels of government have abdicated responsibility</w:t>
            </w:r>
            <w:r w:rsidR="00470707" w:rsidRPr="00BC7002">
              <w:rPr>
                <w:rFonts w:asciiTheme="minorHAnsi" w:hAnsiTheme="minorHAnsi"/>
                <w:sz w:val="22"/>
                <w:szCs w:val="22"/>
                <w:lang w:val="en-GB"/>
              </w:rPr>
              <w:t xml:space="preserve"> to supply CCTV</w:t>
            </w:r>
            <w:r w:rsidRPr="00BC7002">
              <w:rPr>
                <w:rFonts w:asciiTheme="minorHAnsi" w:hAnsiTheme="minorHAnsi"/>
                <w:sz w:val="22"/>
                <w:szCs w:val="22"/>
                <w:lang w:val="en-GB"/>
              </w:rPr>
              <w:t xml:space="preserve">, despite being responsible for </w:t>
            </w:r>
            <w:r w:rsidR="00470707" w:rsidRPr="00BC7002">
              <w:rPr>
                <w:rFonts w:asciiTheme="minorHAnsi" w:hAnsiTheme="minorHAnsi"/>
                <w:sz w:val="22"/>
                <w:szCs w:val="22"/>
                <w:lang w:val="en-GB"/>
              </w:rPr>
              <w:t>crime prevention in general.</w:t>
            </w:r>
            <w:r w:rsidRPr="00BC7002">
              <w:rPr>
                <w:rFonts w:asciiTheme="minorHAnsi" w:hAnsiTheme="minorHAnsi"/>
                <w:sz w:val="22"/>
                <w:szCs w:val="22"/>
                <w:lang w:val="en-GB"/>
              </w:rPr>
              <w:t xml:space="preserve"> </w:t>
            </w:r>
          </w:p>
        </w:tc>
        <w:tc>
          <w:tcPr>
            <w:tcW w:w="1297" w:type="dxa"/>
            <w:tcBorders>
              <w:right w:val="nil"/>
            </w:tcBorders>
          </w:tcPr>
          <w:p w14:paraId="283574C2" w14:textId="682F8457" w:rsidR="006E630F" w:rsidRPr="00BC7002" w:rsidRDefault="003C6782" w:rsidP="00BC7002">
            <w:pPr>
              <w:pStyle w:val="Header"/>
              <w:jc w:val="both"/>
              <w:rPr>
                <w:rFonts w:asciiTheme="minorHAnsi" w:hAnsiTheme="minorHAnsi" w:cstheme="minorBidi"/>
                <w:sz w:val="22"/>
                <w:szCs w:val="22"/>
                <w:lang w:val="en-GB"/>
              </w:rPr>
            </w:pPr>
            <w:r w:rsidRPr="00BC7002">
              <w:rPr>
                <w:rFonts w:asciiTheme="minorHAnsi" w:hAnsiTheme="minorHAnsi"/>
                <w:sz w:val="22"/>
                <w:szCs w:val="22"/>
                <w:lang w:val="en-GB"/>
              </w:rPr>
              <w:t>$</w:t>
            </w:r>
            <w:r w:rsidR="006E630F" w:rsidRPr="00BC7002">
              <w:rPr>
                <w:rFonts w:asciiTheme="minorHAnsi" w:hAnsiTheme="minorHAnsi" w:cstheme="minorBidi"/>
                <w:sz w:val="22"/>
                <w:szCs w:val="22"/>
                <w:lang w:val="en-GB"/>
              </w:rPr>
              <w:t>37,904</w:t>
            </w:r>
          </w:p>
          <w:p w14:paraId="238A3195" w14:textId="26F29AA4" w:rsidR="003C6782" w:rsidRPr="00BC7002" w:rsidRDefault="003C6782" w:rsidP="00BC7002">
            <w:pPr>
              <w:pStyle w:val="Header"/>
              <w:jc w:val="both"/>
              <w:rPr>
                <w:rFonts w:asciiTheme="minorHAnsi" w:hAnsiTheme="minorHAnsi"/>
                <w:sz w:val="22"/>
                <w:szCs w:val="22"/>
                <w:lang w:val="en-GB"/>
              </w:rPr>
            </w:pPr>
          </w:p>
        </w:tc>
      </w:tr>
      <w:tr w:rsidR="003C6782" w:rsidRPr="00BC7002" w14:paraId="1AC1D8AB" w14:textId="77777777" w:rsidTr="00D84013">
        <w:tc>
          <w:tcPr>
            <w:tcW w:w="2830" w:type="dxa"/>
            <w:tcBorders>
              <w:left w:val="nil"/>
            </w:tcBorders>
          </w:tcPr>
          <w:p w14:paraId="7DD6FC42" w14:textId="08293218" w:rsidR="003C6782" w:rsidRPr="00BC7002" w:rsidRDefault="003C6782" w:rsidP="00D84013">
            <w:pPr>
              <w:pStyle w:val="Header"/>
              <w:jc w:val="both"/>
              <w:rPr>
                <w:rFonts w:asciiTheme="minorHAnsi" w:hAnsiTheme="minorHAnsi"/>
                <w:sz w:val="22"/>
                <w:szCs w:val="22"/>
                <w:lang w:val="en-GB"/>
              </w:rPr>
            </w:pPr>
            <w:r w:rsidRPr="00BC7002">
              <w:rPr>
                <w:rFonts w:asciiTheme="minorHAnsi" w:hAnsiTheme="minorHAnsi"/>
                <w:sz w:val="22"/>
                <w:szCs w:val="22"/>
                <w:lang w:val="en-GB"/>
              </w:rPr>
              <w:t>Medical Services</w:t>
            </w:r>
          </w:p>
        </w:tc>
        <w:tc>
          <w:tcPr>
            <w:tcW w:w="5387" w:type="dxa"/>
          </w:tcPr>
          <w:p w14:paraId="3B985E7F" w14:textId="65F3B442" w:rsidR="003C6782" w:rsidRPr="00BC7002" w:rsidRDefault="00470707" w:rsidP="00D84013">
            <w:pPr>
              <w:pStyle w:val="Header"/>
              <w:jc w:val="both"/>
              <w:rPr>
                <w:rFonts w:asciiTheme="minorHAnsi" w:hAnsiTheme="minorHAnsi"/>
                <w:sz w:val="22"/>
                <w:szCs w:val="22"/>
                <w:lang w:val="en-GB"/>
              </w:rPr>
            </w:pPr>
            <w:r w:rsidRPr="00BC7002">
              <w:rPr>
                <w:rFonts w:asciiTheme="minorHAnsi" w:hAnsiTheme="minorHAnsi"/>
                <w:sz w:val="22"/>
                <w:szCs w:val="22"/>
                <w:lang w:val="en-GB"/>
              </w:rPr>
              <w:t xml:space="preserve">SoP provides an incentive package for a General Practitioner to provide a 5 day per week service in Pingelly to supplement the structural inadequacies of </w:t>
            </w:r>
            <w:r w:rsidRPr="00BC7002">
              <w:rPr>
                <w:rFonts w:asciiTheme="minorHAnsi" w:hAnsiTheme="minorHAnsi"/>
                <w:sz w:val="22"/>
                <w:szCs w:val="22"/>
                <w:lang w:val="en-GB"/>
              </w:rPr>
              <w:lastRenderedPageBreak/>
              <w:t>the health service. The provision of this service has saved countless lives over the years.</w:t>
            </w:r>
          </w:p>
        </w:tc>
        <w:tc>
          <w:tcPr>
            <w:tcW w:w="1297" w:type="dxa"/>
            <w:tcBorders>
              <w:right w:val="nil"/>
            </w:tcBorders>
          </w:tcPr>
          <w:p w14:paraId="5F6E04FA" w14:textId="6654BE3B" w:rsidR="003C6782" w:rsidRPr="00BC7002" w:rsidRDefault="006E630F" w:rsidP="00BC7002">
            <w:pPr>
              <w:pStyle w:val="Header"/>
              <w:jc w:val="both"/>
              <w:rPr>
                <w:rFonts w:asciiTheme="minorHAnsi" w:hAnsiTheme="minorHAnsi"/>
                <w:sz w:val="22"/>
                <w:szCs w:val="22"/>
                <w:lang w:val="en-GB"/>
              </w:rPr>
            </w:pPr>
            <w:r w:rsidRPr="00BC7002">
              <w:rPr>
                <w:rFonts w:asciiTheme="minorHAnsi" w:hAnsiTheme="minorHAnsi"/>
                <w:sz w:val="22"/>
                <w:szCs w:val="22"/>
                <w:lang w:val="en-GB"/>
              </w:rPr>
              <w:lastRenderedPageBreak/>
              <w:t>$109,539</w:t>
            </w:r>
          </w:p>
        </w:tc>
      </w:tr>
      <w:tr w:rsidR="00B40C78" w:rsidRPr="00BC7002" w14:paraId="4634719A" w14:textId="77777777" w:rsidTr="00D84013">
        <w:tc>
          <w:tcPr>
            <w:tcW w:w="2830" w:type="dxa"/>
            <w:tcBorders>
              <w:left w:val="nil"/>
            </w:tcBorders>
          </w:tcPr>
          <w:p w14:paraId="042CC751" w14:textId="406B58D2" w:rsidR="00B40C78" w:rsidRPr="00BC7002" w:rsidRDefault="00B40C78" w:rsidP="00D84013">
            <w:pPr>
              <w:pStyle w:val="Header"/>
              <w:jc w:val="both"/>
              <w:rPr>
                <w:rFonts w:asciiTheme="minorHAnsi" w:hAnsiTheme="minorHAnsi"/>
                <w:sz w:val="22"/>
                <w:szCs w:val="22"/>
                <w:lang w:val="en-GB"/>
              </w:rPr>
            </w:pPr>
            <w:r w:rsidRPr="00BC7002">
              <w:rPr>
                <w:rFonts w:asciiTheme="minorHAnsi" w:hAnsiTheme="minorHAnsi"/>
                <w:sz w:val="22"/>
                <w:szCs w:val="22"/>
                <w:lang w:val="en-GB"/>
              </w:rPr>
              <w:t>Childcare Services</w:t>
            </w:r>
          </w:p>
        </w:tc>
        <w:tc>
          <w:tcPr>
            <w:tcW w:w="5387" w:type="dxa"/>
          </w:tcPr>
          <w:p w14:paraId="44E71E3B" w14:textId="3F65F106" w:rsidR="00B40C78" w:rsidRPr="00BC7002" w:rsidRDefault="00470707" w:rsidP="00D84013">
            <w:pPr>
              <w:pStyle w:val="Header"/>
              <w:jc w:val="both"/>
              <w:rPr>
                <w:rFonts w:asciiTheme="minorHAnsi" w:hAnsiTheme="minorHAnsi"/>
                <w:sz w:val="22"/>
                <w:szCs w:val="22"/>
                <w:lang w:val="en-GB"/>
              </w:rPr>
            </w:pPr>
            <w:r w:rsidRPr="00BC7002">
              <w:rPr>
                <w:rFonts w:asciiTheme="minorHAnsi" w:hAnsiTheme="minorHAnsi"/>
                <w:sz w:val="22"/>
                <w:szCs w:val="22"/>
                <w:lang w:val="en-GB"/>
              </w:rPr>
              <w:t xml:space="preserve">Similarly, SoP provides the facility for the provision of childcare services in the absence of any other support. </w:t>
            </w:r>
          </w:p>
        </w:tc>
        <w:tc>
          <w:tcPr>
            <w:tcW w:w="1297" w:type="dxa"/>
            <w:tcBorders>
              <w:right w:val="nil"/>
            </w:tcBorders>
          </w:tcPr>
          <w:p w14:paraId="717F92ED" w14:textId="1D000D1B" w:rsidR="00B40C78" w:rsidRPr="00BC7002" w:rsidRDefault="006E630F" w:rsidP="00BC7002">
            <w:pPr>
              <w:pStyle w:val="Header"/>
              <w:jc w:val="both"/>
              <w:rPr>
                <w:rFonts w:asciiTheme="minorHAnsi" w:hAnsiTheme="minorHAnsi"/>
                <w:sz w:val="22"/>
                <w:szCs w:val="22"/>
                <w:lang w:val="en-GB"/>
              </w:rPr>
            </w:pPr>
            <w:r w:rsidRPr="00BC7002">
              <w:rPr>
                <w:rFonts w:asciiTheme="minorHAnsi" w:hAnsiTheme="minorHAnsi"/>
                <w:sz w:val="22"/>
                <w:szCs w:val="22"/>
                <w:lang w:val="en-GB"/>
              </w:rPr>
              <w:t>$</w:t>
            </w:r>
            <w:r w:rsidR="00470707" w:rsidRPr="00BC7002">
              <w:rPr>
                <w:rFonts w:asciiTheme="minorHAnsi" w:hAnsiTheme="minorHAnsi"/>
                <w:sz w:val="22"/>
                <w:szCs w:val="22"/>
                <w:lang w:val="en-GB"/>
              </w:rPr>
              <w:t>50,000</w:t>
            </w:r>
          </w:p>
        </w:tc>
      </w:tr>
      <w:tr w:rsidR="00B40C78" w:rsidRPr="00BC7002" w14:paraId="03F356C3" w14:textId="77777777" w:rsidTr="00D84013">
        <w:tc>
          <w:tcPr>
            <w:tcW w:w="2830" w:type="dxa"/>
            <w:tcBorders>
              <w:left w:val="nil"/>
            </w:tcBorders>
          </w:tcPr>
          <w:p w14:paraId="766C6E18" w14:textId="1D3D6BDE" w:rsidR="00B40C78" w:rsidRPr="00BC7002" w:rsidRDefault="00B40C78" w:rsidP="00D84013">
            <w:pPr>
              <w:pStyle w:val="Header"/>
              <w:jc w:val="both"/>
              <w:rPr>
                <w:rFonts w:asciiTheme="minorHAnsi" w:hAnsiTheme="minorHAnsi"/>
                <w:sz w:val="22"/>
                <w:szCs w:val="22"/>
                <w:lang w:val="en-GB"/>
              </w:rPr>
            </w:pPr>
            <w:r w:rsidRPr="00BC7002">
              <w:rPr>
                <w:rFonts w:asciiTheme="minorHAnsi" w:hAnsiTheme="minorHAnsi"/>
                <w:sz w:val="22"/>
                <w:szCs w:val="22"/>
                <w:lang w:val="en-GB"/>
              </w:rPr>
              <w:t xml:space="preserve">Transport Services </w:t>
            </w:r>
          </w:p>
        </w:tc>
        <w:tc>
          <w:tcPr>
            <w:tcW w:w="5387" w:type="dxa"/>
          </w:tcPr>
          <w:p w14:paraId="38C88794" w14:textId="5A736D2E" w:rsidR="00B40C78" w:rsidRPr="00BC7002" w:rsidRDefault="00470707" w:rsidP="00D84013">
            <w:pPr>
              <w:pStyle w:val="Header"/>
              <w:jc w:val="both"/>
              <w:rPr>
                <w:rFonts w:asciiTheme="minorHAnsi" w:hAnsiTheme="minorHAnsi"/>
                <w:sz w:val="22"/>
                <w:szCs w:val="22"/>
                <w:lang w:val="en-GB"/>
              </w:rPr>
            </w:pPr>
            <w:r w:rsidRPr="00BC7002">
              <w:rPr>
                <w:rFonts w:asciiTheme="minorHAnsi" w:hAnsiTheme="minorHAnsi"/>
                <w:sz w:val="22"/>
                <w:szCs w:val="22"/>
                <w:lang w:val="en-GB"/>
              </w:rPr>
              <w:t>SoP provides both a community bus for public transport services</w:t>
            </w:r>
            <w:r w:rsidR="00DD12BD" w:rsidRPr="00BC7002">
              <w:rPr>
                <w:rFonts w:asciiTheme="minorHAnsi" w:hAnsiTheme="minorHAnsi"/>
                <w:sz w:val="22"/>
                <w:szCs w:val="22"/>
                <w:lang w:val="en-GB"/>
              </w:rPr>
              <w:t xml:space="preserve"> and also a community car to enable local people to attend hospital and specialist appointments in regional centres and in Perth. This is required in the absence of any other suitable public transport. Both of these services depend on volunteer drivers. </w:t>
            </w:r>
          </w:p>
        </w:tc>
        <w:tc>
          <w:tcPr>
            <w:tcW w:w="1297" w:type="dxa"/>
            <w:tcBorders>
              <w:right w:val="nil"/>
            </w:tcBorders>
          </w:tcPr>
          <w:p w14:paraId="00061229" w14:textId="313120FA" w:rsidR="00B40C78" w:rsidRPr="00BC7002" w:rsidRDefault="006E630F" w:rsidP="00BC7002">
            <w:pPr>
              <w:pStyle w:val="Header"/>
              <w:jc w:val="both"/>
              <w:rPr>
                <w:rFonts w:asciiTheme="minorHAnsi" w:hAnsiTheme="minorHAnsi" w:cstheme="minorBidi"/>
                <w:sz w:val="22"/>
                <w:szCs w:val="22"/>
                <w:lang w:val="en-GB"/>
              </w:rPr>
            </w:pPr>
            <w:r w:rsidRPr="00BC7002">
              <w:rPr>
                <w:rFonts w:asciiTheme="minorHAnsi" w:hAnsiTheme="minorHAnsi"/>
                <w:sz w:val="22"/>
                <w:szCs w:val="22"/>
                <w:lang w:val="en-GB"/>
              </w:rPr>
              <w:t>$</w:t>
            </w:r>
            <w:r w:rsidRPr="00BC7002">
              <w:rPr>
                <w:rFonts w:asciiTheme="minorHAnsi" w:hAnsiTheme="minorHAnsi" w:cstheme="minorBidi"/>
                <w:sz w:val="22"/>
                <w:szCs w:val="22"/>
                <w:lang w:val="en-GB"/>
              </w:rPr>
              <w:t>25,000</w:t>
            </w:r>
          </w:p>
        </w:tc>
      </w:tr>
      <w:tr w:rsidR="00DD12BD" w:rsidRPr="00BC7002" w14:paraId="5805E632" w14:textId="77777777" w:rsidTr="00D84013">
        <w:tc>
          <w:tcPr>
            <w:tcW w:w="2830" w:type="dxa"/>
            <w:tcBorders>
              <w:left w:val="nil"/>
            </w:tcBorders>
          </w:tcPr>
          <w:p w14:paraId="1B259D8B" w14:textId="45878692" w:rsidR="00DD12BD" w:rsidRPr="00091AE1" w:rsidRDefault="00DD12BD" w:rsidP="00091AE1">
            <w:pPr>
              <w:pStyle w:val="Header"/>
              <w:jc w:val="right"/>
              <w:rPr>
                <w:rFonts w:asciiTheme="minorHAnsi" w:hAnsiTheme="minorHAnsi"/>
                <w:b/>
                <w:bCs/>
                <w:sz w:val="22"/>
                <w:szCs w:val="22"/>
                <w:lang w:val="en-GB"/>
              </w:rPr>
            </w:pPr>
            <w:r w:rsidRPr="00091AE1">
              <w:rPr>
                <w:rFonts w:asciiTheme="minorHAnsi" w:hAnsiTheme="minorHAnsi"/>
                <w:b/>
                <w:bCs/>
                <w:sz w:val="22"/>
                <w:szCs w:val="22"/>
                <w:lang w:val="en-GB"/>
              </w:rPr>
              <w:t>Total</w:t>
            </w:r>
          </w:p>
        </w:tc>
        <w:tc>
          <w:tcPr>
            <w:tcW w:w="5387" w:type="dxa"/>
          </w:tcPr>
          <w:p w14:paraId="0D19A0DC" w14:textId="77777777" w:rsidR="00DD12BD" w:rsidRPr="00091AE1" w:rsidRDefault="00DD12BD" w:rsidP="00D84013">
            <w:pPr>
              <w:pStyle w:val="Header"/>
              <w:jc w:val="both"/>
              <w:rPr>
                <w:rFonts w:asciiTheme="minorHAnsi" w:hAnsiTheme="minorHAnsi"/>
                <w:b/>
                <w:bCs/>
                <w:sz w:val="22"/>
                <w:szCs w:val="22"/>
                <w:lang w:val="en-GB"/>
              </w:rPr>
            </w:pPr>
          </w:p>
        </w:tc>
        <w:tc>
          <w:tcPr>
            <w:tcW w:w="1297" w:type="dxa"/>
            <w:tcBorders>
              <w:right w:val="nil"/>
            </w:tcBorders>
          </w:tcPr>
          <w:p w14:paraId="2B3CD6B7" w14:textId="5D627B9D" w:rsidR="00DD12BD" w:rsidRPr="00091AE1" w:rsidRDefault="00DD12BD" w:rsidP="00BC7002">
            <w:pPr>
              <w:pStyle w:val="Header"/>
              <w:jc w:val="both"/>
              <w:rPr>
                <w:rFonts w:asciiTheme="minorHAnsi" w:hAnsiTheme="minorHAnsi"/>
                <w:b/>
                <w:bCs/>
                <w:sz w:val="22"/>
                <w:szCs w:val="22"/>
                <w:lang w:val="en-GB"/>
              </w:rPr>
            </w:pPr>
            <w:r w:rsidRPr="00091AE1">
              <w:rPr>
                <w:rFonts w:asciiTheme="minorHAnsi" w:hAnsiTheme="minorHAnsi"/>
                <w:b/>
                <w:bCs/>
                <w:sz w:val="22"/>
                <w:szCs w:val="22"/>
                <w:lang w:val="en-GB"/>
              </w:rPr>
              <w:t>$232,443</w:t>
            </w:r>
          </w:p>
        </w:tc>
      </w:tr>
    </w:tbl>
    <w:p w14:paraId="2903E2C6" w14:textId="77777777" w:rsidR="003C6782" w:rsidRPr="00BC7002" w:rsidRDefault="003C6782" w:rsidP="000B5268">
      <w:pPr>
        <w:pStyle w:val="Header"/>
        <w:jc w:val="both"/>
        <w:rPr>
          <w:lang w:val="en-GB"/>
        </w:rPr>
      </w:pPr>
    </w:p>
    <w:p w14:paraId="75672698" w14:textId="1EC09D5E" w:rsidR="003C6782" w:rsidRDefault="00BC7002" w:rsidP="000B5268">
      <w:pPr>
        <w:pStyle w:val="Header"/>
        <w:jc w:val="both"/>
        <w:rPr>
          <w:lang w:val="en-GB"/>
        </w:rPr>
      </w:pPr>
      <w:r>
        <w:rPr>
          <w:lang w:val="en-GB"/>
        </w:rPr>
        <w:t xml:space="preserve">There are many other regional service gaps that SoP would like to support, including the lack of any trained mental health professionals which contributes to the disproportionally high rate of suicide. </w:t>
      </w:r>
    </w:p>
    <w:p w14:paraId="4B651498" w14:textId="77777777" w:rsidR="00761890" w:rsidRDefault="00761890" w:rsidP="000B5268">
      <w:pPr>
        <w:pStyle w:val="Header"/>
        <w:jc w:val="both"/>
        <w:rPr>
          <w:lang w:val="en-GB"/>
        </w:rPr>
      </w:pPr>
    </w:p>
    <w:p w14:paraId="298B584D" w14:textId="590C7B33" w:rsidR="00B40C78" w:rsidRPr="000576E6" w:rsidRDefault="00BC7002" w:rsidP="000576E6">
      <w:pPr>
        <w:pStyle w:val="Header"/>
        <w:rPr>
          <w:b/>
          <w:bCs/>
          <w:sz w:val="26"/>
          <w:szCs w:val="26"/>
          <w:lang w:val="en-GB"/>
        </w:rPr>
      </w:pPr>
      <w:r w:rsidRPr="000576E6">
        <w:rPr>
          <w:b/>
          <w:bCs/>
          <w:sz w:val="26"/>
          <w:szCs w:val="26"/>
          <w:lang w:val="en-GB"/>
        </w:rPr>
        <w:t xml:space="preserve">Financial Assistance Grants </w:t>
      </w:r>
    </w:p>
    <w:p w14:paraId="768B180A" w14:textId="62FDCAF8" w:rsidR="00BC7002" w:rsidRPr="00BC7002" w:rsidRDefault="00BC7002" w:rsidP="00BC7002">
      <w:pPr>
        <w:pStyle w:val="Header"/>
        <w:jc w:val="both"/>
        <w:rPr>
          <w:lang w:val="en-GB"/>
        </w:rPr>
      </w:pPr>
      <w:r>
        <w:rPr>
          <w:lang w:val="en-GB"/>
        </w:rPr>
        <w:t>SoP received $</w:t>
      </w:r>
      <w:r w:rsidRPr="00BC7002">
        <w:rPr>
          <w:lang w:val="en-GB"/>
        </w:rPr>
        <w:t>1,501,532</w:t>
      </w:r>
      <w:r>
        <w:rPr>
          <w:lang w:val="en-GB"/>
        </w:rPr>
        <w:t xml:space="preserve"> in untied FA Grants in 2022/23. This allowed the Shire to provide community services such as parks and gardens, an oval and other </w:t>
      </w:r>
      <w:r w:rsidR="000576E6">
        <w:rPr>
          <w:lang w:val="en-GB"/>
        </w:rPr>
        <w:t xml:space="preserve">sports grounds. Without this funding, SoP would be in an unsustainable financial position. </w:t>
      </w:r>
      <w:r w:rsidR="00091AE1">
        <w:rPr>
          <w:lang w:val="en-GB"/>
        </w:rPr>
        <w:t>With f</w:t>
      </w:r>
      <w:r w:rsidR="000576E6">
        <w:rPr>
          <w:lang w:val="en-GB"/>
        </w:rPr>
        <w:t>unding at this level</w:t>
      </w:r>
      <w:r w:rsidR="00091AE1">
        <w:rPr>
          <w:lang w:val="en-GB"/>
        </w:rPr>
        <w:t xml:space="preserve"> SoP is financially sustainable, but</w:t>
      </w:r>
      <w:r w:rsidR="000576E6">
        <w:rPr>
          <w:lang w:val="en-GB"/>
        </w:rPr>
        <w:t xml:space="preserve"> with no discretionary funding available</w:t>
      </w:r>
      <w:r w:rsidR="00091AE1">
        <w:rPr>
          <w:lang w:val="en-GB"/>
        </w:rPr>
        <w:t>. This</w:t>
      </w:r>
      <w:r w:rsidR="000576E6">
        <w:rPr>
          <w:lang w:val="en-GB"/>
        </w:rPr>
        <w:t xml:space="preserve"> keeps SoP dependant on applying for and receiving grant funding for projects</w:t>
      </w:r>
      <w:r w:rsidR="00091AE1">
        <w:rPr>
          <w:lang w:val="en-GB"/>
        </w:rPr>
        <w:t xml:space="preserve">, </w:t>
      </w:r>
      <w:r w:rsidR="000576E6">
        <w:rPr>
          <w:lang w:val="en-GB"/>
        </w:rPr>
        <w:t>prevent</w:t>
      </w:r>
      <w:r w:rsidR="00091AE1">
        <w:rPr>
          <w:lang w:val="en-GB"/>
        </w:rPr>
        <w:t>ing</w:t>
      </w:r>
      <w:r w:rsidR="000576E6">
        <w:rPr>
          <w:lang w:val="en-GB"/>
        </w:rPr>
        <w:t xml:space="preserve"> the Shire from responding appropriately to the needs of the community. </w:t>
      </w:r>
      <w:r w:rsidR="00091AE1">
        <w:rPr>
          <w:lang w:val="en-GB"/>
        </w:rPr>
        <w:t>Consequently, the Shire supports A</w:t>
      </w:r>
      <w:r w:rsidR="008D5EFE">
        <w:rPr>
          <w:lang w:val="en-GB"/>
        </w:rPr>
        <w:t>L</w:t>
      </w:r>
      <w:r w:rsidR="00091AE1">
        <w:rPr>
          <w:lang w:val="en-GB"/>
        </w:rPr>
        <w:t xml:space="preserve">GA and WALGA’s advocacy position that to increase </w:t>
      </w:r>
      <w:r w:rsidR="00A431CA">
        <w:rPr>
          <w:lang w:val="en-GB"/>
        </w:rPr>
        <w:t xml:space="preserve">and index </w:t>
      </w:r>
      <w:r w:rsidR="00091AE1">
        <w:rPr>
          <w:lang w:val="en-GB"/>
        </w:rPr>
        <w:t>the overall pool of FA Grants to 1%</w:t>
      </w:r>
      <w:r w:rsidR="00A431CA">
        <w:rPr>
          <w:lang w:val="en-GB"/>
        </w:rPr>
        <w:t xml:space="preserve"> of Commonwealth tax income</w:t>
      </w:r>
      <w:r w:rsidR="00091AE1">
        <w:rPr>
          <w:lang w:val="en-GB"/>
        </w:rPr>
        <w:t>, that the funding remain untied</w:t>
      </w:r>
      <w:r w:rsidR="00A431CA">
        <w:rPr>
          <w:lang w:val="en-GB"/>
        </w:rPr>
        <w:t xml:space="preserve"> for local governments. </w:t>
      </w:r>
      <w:r w:rsidR="0070329A">
        <w:rPr>
          <w:lang w:val="en-GB"/>
        </w:rPr>
        <w:t xml:space="preserve">At the current allocations, this would provide an additional $1.5 million per year to SoP, alleviating the asset gap of $1.4 million per year. </w:t>
      </w:r>
    </w:p>
    <w:p w14:paraId="371A37BF" w14:textId="52D381C6" w:rsidR="00B40C78" w:rsidRDefault="00B40C78" w:rsidP="000B5268">
      <w:pPr>
        <w:pStyle w:val="Header"/>
        <w:jc w:val="both"/>
        <w:rPr>
          <w:lang w:val="en-GB"/>
        </w:rPr>
      </w:pPr>
    </w:p>
    <w:p w14:paraId="13DD9769" w14:textId="23764F0E" w:rsidR="00761890" w:rsidRPr="007011D4" w:rsidRDefault="008D5EFE" w:rsidP="007011D4">
      <w:pPr>
        <w:pStyle w:val="Header"/>
        <w:rPr>
          <w:b/>
          <w:bCs/>
          <w:sz w:val="26"/>
          <w:szCs w:val="26"/>
          <w:lang w:val="en-GB"/>
        </w:rPr>
      </w:pPr>
      <w:r w:rsidRPr="007011D4">
        <w:rPr>
          <w:b/>
          <w:bCs/>
          <w:sz w:val="26"/>
          <w:szCs w:val="26"/>
          <w:lang w:val="en-GB"/>
        </w:rPr>
        <w:t>Large V Small Local Governments</w:t>
      </w:r>
    </w:p>
    <w:p w14:paraId="468B003F" w14:textId="199BC86E" w:rsidR="008D5EFE" w:rsidRDefault="008D5EFE" w:rsidP="000B5268">
      <w:pPr>
        <w:pStyle w:val="Header"/>
        <w:jc w:val="both"/>
        <w:rPr>
          <w:lang w:val="en-GB"/>
        </w:rPr>
      </w:pPr>
      <w:r>
        <w:rPr>
          <w:lang w:val="en-GB"/>
        </w:rPr>
        <w:t xml:space="preserve">With regard to sustainability, there appears to be no difference between the varying sizes of local governments for a given area. </w:t>
      </w:r>
      <w:r w:rsidR="007011D4">
        <w:rPr>
          <w:lang w:val="en-GB"/>
        </w:rPr>
        <w:t xml:space="preserve">For that given area, the asset replacement task is the same, income sources are the same, compliance requirements scale with size, meaning that there appears to be no real financial advantage to large V small local governments. Touted synergies of larger local government are frequently already utilised through resource sharing, use of contractors and multi-skilling of staff. In fact, in many practical case studies, larger local governments made less effective use of resources due to additional layers of management necessary for a larger bureaucracy. </w:t>
      </w:r>
    </w:p>
    <w:p w14:paraId="40D15B5C" w14:textId="77777777" w:rsidR="0070329A" w:rsidRDefault="0070329A" w:rsidP="000B5268">
      <w:pPr>
        <w:pStyle w:val="Header"/>
        <w:jc w:val="both"/>
        <w:rPr>
          <w:lang w:val="en-GB"/>
        </w:rPr>
      </w:pPr>
    </w:p>
    <w:p w14:paraId="26DE1AFE" w14:textId="6D787EB7" w:rsidR="0070329A" w:rsidRPr="0070329A" w:rsidRDefault="0070329A" w:rsidP="0070329A">
      <w:pPr>
        <w:pStyle w:val="Header"/>
        <w:rPr>
          <w:b/>
          <w:bCs/>
          <w:sz w:val="26"/>
          <w:szCs w:val="26"/>
          <w:lang w:val="en-GB"/>
        </w:rPr>
      </w:pPr>
      <w:r w:rsidRPr="0070329A">
        <w:rPr>
          <w:b/>
          <w:bCs/>
          <w:sz w:val="26"/>
          <w:szCs w:val="26"/>
          <w:lang w:val="en-GB"/>
        </w:rPr>
        <w:t xml:space="preserve">Conclusion </w:t>
      </w:r>
    </w:p>
    <w:p w14:paraId="3ED3A50D" w14:textId="65E0E8FE" w:rsidR="0070329A" w:rsidRDefault="0070329A" w:rsidP="000B5268">
      <w:pPr>
        <w:pStyle w:val="Header"/>
        <w:jc w:val="both"/>
        <w:rPr>
          <w:lang w:val="en-GB"/>
        </w:rPr>
      </w:pPr>
      <w:r>
        <w:rPr>
          <w:lang w:val="en-GB"/>
        </w:rPr>
        <w:t xml:space="preserve">In conclusion, the Shire of Pingelly is making progress paying off capital loans for the recent construction of a multi-purpose recreation centre and re-building reserves to an appropriate level and is sustainable as an organisation. The Shire of Pingelly is weighed down by often onerous legislative requirements and </w:t>
      </w:r>
      <w:r w:rsidR="00707958">
        <w:rPr>
          <w:lang w:val="en-GB"/>
        </w:rPr>
        <w:t xml:space="preserve">fees and subsidies that have not kept pace with costs. Regional local governments also are required by their community to fill service gaps which is a further financial burden. </w:t>
      </w:r>
      <w:r>
        <w:rPr>
          <w:lang w:val="en-GB"/>
        </w:rPr>
        <w:t xml:space="preserve"> Unfortunately, </w:t>
      </w:r>
      <w:r w:rsidR="00707958">
        <w:rPr>
          <w:lang w:val="en-GB"/>
        </w:rPr>
        <w:t xml:space="preserve">the Shire of Pingelly’s and most other </w:t>
      </w:r>
      <w:r w:rsidR="00707958">
        <w:rPr>
          <w:lang w:val="en-GB"/>
        </w:rPr>
        <w:t>local government</w:t>
      </w:r>
      <w:r w:rsidR="00707958">
        <w:rPr>
          <w:lang w:val="en-GB"/>
        </w:rPr>
        <w:t>’</w:t>
      </w:r>
      <w:r w:rsidR="00707958">
        <w:rPr>
          <w:lang w:val="en-GB"/>
        </w:rPr>
        <w:t>s</w:t>
      </w:r>
      <w:r w:rsidR="00707958">
        <w:rPr>
          <w:lang w:val="en-GB"/>
        </w:rPr>
        <w:t xml:space="preserve"> </w:t>
      </w:r>
      <w:r>
        <w:rPr>
          <w:lang w:val="en-GB"/>
        </w:rPr>
        <w:t xml:space="preserve">asset replacement is falling further behind due to lack of </w:t>
      </w:r>
      <w:r w:rsidR="00707958">
        <w:rPr>
          <w:lang w:val="en-GB"/>
        </w:rPr>
        <w:t xml:space="preserve">direct </w:t>
      </w:r>
      <w:r>
        <w:rPr>
          <w:lang w:val="en-GB"/>
        </w:rPr>
        <w:t xml:space="preserve">funding. </w:t>
      </w:r>
      <w:r w:rsidR="00707958">
        <w:rPr>
          <w:lang w:val="en-GB"/>
        </w:rPr>
        <w:t xml:space="preserve">There are a number of steps that should be taken: </w:t>
      </w:r>
    </w:p>
    <w:p w14:paraId="3040A522" w14:textId="77777777" w:rsidR="00707958" w:rsidRDefault="00707958" w:rsidP="000B5268">
      <w:pPr>
        <w:pStyle w:val="Header"/>
        <w:jc w:val="both"/>
        <w:rPr>
          <w:lang w:val="en-GB"/>
        </w:rPr>
      </w:pPr>
    </w:p>
    <w:p w14:paraId="5170F65C" w14:textId="3F233DA1" w:rsidR="00707958" w:rsidRDefault="00707958" w:rsidP="00707958">
      <w:pPr>
        <w:pStyle w:val="Header"/>
        <w:numPr>
          <w:ilvl w:val="0"/>
          <w:numId w:val="6"/>
        </w:numPr>
        <w:jc w:val="both"/>
        <w:rPr>
          <w:lang w:val="en-GB"/>
        </w:rPr>
      </w:pPr>
      <w:r>
        <w:rPr>
          <w:lang w:val="en-GB"/>
        </w:rPr>
        <w:t>A review of fees or allowing the local governments to set appropriate fee levels for statutory services;</w:t>
      </w:r>
    </w:p>
    <w:p w14:paraId="0DD10545" w14:textId="285BE074" w:rsidR="00707958" w:rsidRDefault="00707958" w:rsidP="00707958">
      <w:pPr>
        <w:pStyle w:val="Header"/>
        <w:numPr>
          <w:ilvl w:val="0"/>
          <w:numId w:val="6"/>
        </w:numPr>
        <w:jc w:val="both"/>
        <w:rPr>
          <w:lang w:val="en-GB"/>
        </w:rPr>
      </w:pPr>
      <w:r>
        <w:rPr>
          <w:lang w:val="en-GB"/>
        </w:rPr>
        <w:t xml:space="preserve">Removal of onerous or excessive compliance requirements such as those listed above; </w:t>
      </w:r>
    </w:p>
    <w:p w14:paraId="00FAD24B" w14:textId="0AA58C58" w:rsidR="00707958" w:rsidRDefault="00707958" w:rsidP="00707958">
      <w:pPr>
        <w:pStyle w:val="Header"/>
        <w:numPr>
          <w:ilvl w:val="0"/>
          <w:numId w:val="6"/>
        </w:numPr>
        <w:jc w:val="both"/>
        <w:rPr>
          <w:lang w:val="en-GB"/>
        </w:rPr>
      </w:pPr>
      <w:r>
        <w:rPr>
          <w:lang w:val="en-GB"/>
        </w:rPr>
        <w:t xml:space="preserve">Provision of equitable service levels in regional areas including medical services and telecommunications; and </w:t>
      </w:r>
    </w:p>
    <w:p w14:paraId="52D0929F" w14:textId="2437D421" w:rsidR="00707958" w:rsidRPr="00707958" w:rsidRDefault="00707958" w:rsidP="00707958">
      <w:pPr>
        <w:pStyle w:val="Header"/>
        <w:numPr>
          <w:ilvl w:val="0"/>
          <w:numId w:val="6"/>
        </w:numPr>
        <w:jc w:val="both"/>
        <w:rPr>
          <w:lang w:val="en-GB"/>
        </w:rPr>
      </w:pPr>
      <w:r>
        <w:rPr>
          <w:lang w:val="en-GB"/>
        </w:rPr>
        <w:t>An increase in Financial Assistance or other direct untied grants to offset the asset replacement gaps.</w:t>
      </w:r>
    </w:p>
    <w:p w14:paraId="40CB30F7" w14:textId="77777777" w:rsidR="00707958" w:rsidRPr="00AC67E4" w:rsidRDefault="00707958" w:rsidP="000B5268">
      <w:pPr>
        <w:pStyle w:val="Header"/>
        <w:jc w:val="both"/>
        <w:rPr>
          <w:lang w:val="en-GB"/>
        </w:rPr>
      </w:pPr>
    </w:p>
    <w:sectPr w:rsidR="00707958" w:rsidRPr="00AC67E4" w:rsidSect="00045ED8">
      <w:pgSz w:w="11906" w:h="16838"/>
      <w:pgMar w:top="851" w:right="1191" w:bottom="851" w:left="11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A5656"/>
    <w:multiLevelType w:val="hybridMultilevel"/>
    <w:tmpl w:val="C852A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34423A5"/>
    <w:multiLevelType w:val="hybridMultilevel"/>
    <w:tmpl w:val="AC6A0B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681F3A98"/>
    <w:multiLevelType w:val="hybridMultilevel"/>
    <w:tmpl w:val="1054C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374708"/>
    <w:multiLevelType w:val="hybridMultilevel"/>
    <w:tmpl w:val="9360475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 w15:restartNumberingAfterBreak="0">
    <w:nsid w:val="6CE02F35"/>
    <w:multiLevelType w:val="hybridMultilevel"/>
    <w:tmpl w:val="5E685A6C"/>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1563B5F"/>
    <w:multiLevelType w:val="hybridMultilevel"/>
    <w:tmpl w:val="93605AF0"/>
    <w:lvl w:ilvl="0" w:tplc="0C090015">
      <w:start w:val="1"/>
      <w:numFmt w:val="upp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4573641">
    <w:abstractNumId w:val="2"/>
  </w:num>
  <w:num w:numId="2" w16cid:durableId="589200733">
    <w:abstractNumId w:val="0"/>
  </w:num>
  <w:num w:numId="3" w16cid:durableId="296254895">
    <w:abstractNumId w:val="4"/>
  </w:num>
  <w:num w:numId="4" w16cid:durableId="1835875343">
    <w:abstractNumId w:val="5"/>
  </w:num>
  <w:num w:numId="5" w16cid:durableId="66462074">
    <w:abstractNumId w:val="3"/>
  </w:num>
  <w:num w:numId="6" w16cid:durableId="1189100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AD"/>
    <w:rsid w:val="00045ED8"/>
    <w:rsid w:val="000576E6"/>
    <w:rsid w:val="00090378"/>
    <w:rsid w:val="00091AE1"/>
    <w:rsid w:val="000B5268"/>
    <w:rsid w:val="001070B1"/>
    <w:rsid w:val="001C363A"/>
    <w:rsid w:val="001F0B07"/>
    <w:rsid w:val="00207FCA"/>
    <w:rsid w:val="00216D45"/>
    <w:rsid w:val="00216FEA"/>
    <w:rsid w:val="00217E8A"/>
    <w:rsid w:val="002742DB"/>
    <w:rsid w:val="002C0E8C"/>
    <w:rsid w:val="002C4F9F"/>
    <w:rsid w:val="00340996"/>
    <w:rsid w:val="00347F9B"/>
    <w:rsid w:val="00373887"/>
    <w:rsid w:val="00384BA1"/>
    <w:rsid w:val="003C6782"/>
    <w:rsid w:val="003E3AB8"/>
    <w:rsid w:val="003F6475"/>
    <w:rsid w:val="00457A1C"/>
    <w:rsid w:val="00470707"/>
    <w:rsid w:val="004915F3"/>
    <w:rsid w:val="004D1054"/>
    <w:rsid w:val="00530167"/>
    <w:rsid w:val="00557864"/>
    <w:rsid w:val="0059793D"/>
    <w:rsid w:val="006217A5"/>
    <w:rsid w:val="006D2383"/>
    <w:rsid w:val="006E630F"/>
    <w:rsid w:val="007011D4"/>
    <w:rsid w:val="0070329A"/>
    <w:rsid w:val="007065C4"/>
    <w:rsid w:val="00707958"/>
    <w:rsid w:val="00761890"/>
    <w:rsid w:val="007E6EF7"/>
    <w:rsid w:val="0081623A"/>
    <w:rsid w:val="008329E5"/>
    <w:rsid w:val="008357B2"/>
    <w:rsid w:val="008629FD"/>
    <w:rsid w:val="008A1E9B"/>
    <w:rsid w:val="008D13B5"/>
    <w:rsid w:val="008D36A3"/>
    <w:rsid w:val="008D5EFE"/>
    <w:rsid w:val="008E5D80"/>
    <w:rsid w:val="00996D0A"/>
    <w:rsid w:val="009C103A"/>
    <w:rsid w:val="009D5A9A"/>
    <w:rsid w:val="00A25C02"/>
    <w:rsid w:val="00A431CA"/>
    <w:rsid w:val="00A43812"/>
    <w:rsid w:val="00AA193B"/>
    <w:rsid w:val="00AA2892"/>
    <w:rsid w:val="00AB6A1E"/>
    <w:rsid w:val="00AC67E4"/>
    <w:rsid w:val="00B40C78"/>
    <w:rsid w:val="00B57993"/>
    <w:rsid w:val="00B85951"/>
    <w:rsid w:val="00BA6A3D"/>
    <w:rsid w:val="00BC7002"/>
    <w:rsid w:val="00BE00AD"/>
    <w:rsid w:val="00C24938"/>
    <w:rsid w:val="00C548C8"/>
    <w:rsid w:val="00C769E4"/>
    <w:rsid w:val="00C960A9"/>
    <w:rsid w:val="00CB020B"/>
    <w:rsid w:val="00D04137"/>
    <w:rsid w:val="00D177CE"/>
    <w:rsid w:val="00D342CE"/>
    <w:rsid w:val="00D5515D"/>
    <w:rsid w:val="00D66597"/>
    <w:rsid w:val="00D84A62"/>
    <w:rsid w:val="00DB2AAA"/>
    <w:rsid w:val="00DB4B93"/>
    <w:rsid w:val="00DC5A0C"/>
    <w:rsid w:val="00DD12BD"/>
    <w:rsid w:val="00E92129"/>
    <w:rsid w:val="00E96794"/>
    <w:rsid w:val="00EA5214"/>
    <w:rsid w:val="00EA52A3"/>
    <w:rsid w:val="00EE64D4"/>
    <w:rsid w:val="00F429DA"/>
    <w:rsid w:val="00F47D92"/>
    <w:rsid w:val="00FA38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B77A"/>
  <w15:chartTrackingRefBased/>
  <w15:docId w15:val="{B2FA8086-56E2-48DD-B5D5-B92811C3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002"/>
    <w:pPr>
      <w:spacing w:after="0" w:line="240" w:lineRule="auto"/>
    </w:pPr>
    <w:rPr>
      <w:rFonts w:ascii="Times New Roman" w:eastAsia="Times New Roman" w:hAnsi="Times New Roman" w:cs="Times New Roman"/>
      <w:kern w:val="0"/>
      <w:sz w:val="24"/>
      <w:szCs w:val="24"/>
      <w:lang w:eastAsia="en-AU"/>
      <w14:ligatures w14:val="none"/>
    </w:rPr>
  </w:style>
  <w:style w:type="paragraph" w:styleId="Heading1">
    <w:name w:val="heading 1"/>
    <w:basedOn w:val="Normal"/>
    <w:next w:val="Normal"/>
    <w:link w:val="Heading1Char"/>
    <w:uiPriority w:val="9"/>
    <w:qFormat/>
    <w:rsid w:val="00BE00A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E00A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E00A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E00A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BE00A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BE00A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BE00A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BE00A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BE00A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0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00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00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00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00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00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0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0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0AD"/>
    <w:rPr>
      <w:rFonts w:eastAsiaTheme="majorEastAsia" w:cstheme="majorBidi"/>
      <w:color w:val="272727" w:themeColor="text1" w:themeTint="D8"/>
    </w:rPr>
  </w:style>
  <w:style w:type="paragraph" w:styleId="Title">
    <w:name w:val="Title"/>
    <w:basedOn w:val="Normal"/>
    <w:next w:val="Normal"/>
    <w:link w:val="TitleChar"/>
    <w:uiPriority w:val="10"/>
    <w:qFormat/>
    <w:rsid w:val="00BE00A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E00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0A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E00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0A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BE00AD"/>
    <w:rPr>
      <w:i/>
      <w:iCs/>
      <w:color w:val="404040" w:themeColor="text1" w:themeTint="BF"/>
    </w:rPr>
  </w:style>
  <w:style w:type="paragraph" w:styleId="ListParagraph">
    <w:name w:val="List Paragraph"/>
    <w:basedOn w:val="Normal"/>
    <w:uiPriority w:val="34"/>
    <w:qFormat/>
    <w:rsid w:val="00BE00A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BE00AD"/>
    <w:rPr>
      <w:i/>
      <w:iCs/>
      <w:color w:val="0F4761" w:themeColor="accent1" w:themeShade="BF"/>
    </w:rPr>
  </w:style>
  <w:style w:type="paragraph" w:styleId="IntenseQuote">
    <w:name w:val="Intense Quote"/>
    <w:basedOn w:val="Normal"/>
    <w:next w:val="Normal"/>
    <w:link w:val="IntenseQuoteChar"/>
    <w:uiPriority w:val="30"/>
    <w:qFormat/>
    <w:rsid w:val="00BE00A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BE00AD"/>
    <w:rPr>
      <w:i/>
      <w:iCs/>
      <w:color w:val="0F4761" w:themeColor="accent1" w:themeShade="BF"/>
    </w:rPr>
  </w:style>
  <w:style w:type="character" w:styleId="IntenseReference">
    <w:name w:val="Intense Reference"/>
    <w:basedOn w:val="DefaultParagraphFont"/>
    <w:uiPriority w:val="32"/>
    <w:qFormat/>
    <w:rsid w:val="00BE00AD"/>
    <w:rPr>
      <w:b/>
      <w:bCs/>
      <w:smallCaps/>
      <w:color w:val="0F4761" w:themeColor="accent1" w:themeShade="BF"/>
      <w:spacing w:val="5"/>
    </w:rPr>
  </w:style>
  <w:style w:type="character" w:customStyle="1" w:styleId="x193iq5w">
    <w:name w:val="x193iq5w"/>
    <w:basedOn w:val="DefaultParagraphFont"/>
    <w:rsid w:val="00BE00AD"/>
  </w:style>
  <w:style w:type="paragraph" w:styleId="Header">
    <w:name w:val="header"/>
    <w:basedOn w:val="Normal"/>
    <w:link w:val="HeaderChar"/>
    <w:uiPriority w:val="99"/>
    <w:unhideWhenUsed/>
    <w:rsid w:val="00A25C0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25C02"/>
    <w:rPr>
      <w:kern w:val="0"/>
      <w14:ligatures w14:val="none"/>
    </w:rPr>
  </w:style>
  <w:style w:type="character" w:customStyle="1" w:styleId="fontstyle01">
    <w:name w:val="fontstyle01"/>
    <w:basedOn w:val="DefaultParagraphFont"/>
    <w:rsid w:val="00347F9B"/>
    <w:rPr>
      <w:rFonts w:ascii="Arial" w:hAnsi="Arial" w:cs="Arial" w:hint="default"/>
      <w:b w:val="0"/>
      <w:bCs w:val="0"/>
      <w:i w:val="0"/>
      <w:iCs w:val="0"/>
      <w:color w:val="000000"/>
      <w:sz w:val="20"/>
      <w:szCs w:val="20"/>
    </w:rPr>
  </w:style>
  <w:style w:type="character" w:customStyle="1" w:styleId="fontstyle21">
    <w:name w:val="fontstyle21"/>
    <w:basedOn w:val="DefaultParagraphFont"/>
    <w:rsid w:val="00347F9B"/>
    <w:rPr>
      <w:rFonts w:ascii="Arial" w:hAnsi="Arial" w:cs="Arial" w:hint="default"/>
      <w:b w:val="0"/>
      <w:bCs w:val="0"/>
      <w:i/>
      <w:iCs/>
      <w:color w:val="000000"/>
      <w:sz w:val="24"/>
      <w:szCs w:val="24"/>
    </w:rPr>
  </w:style>
  <w:style w:type="character" w:styleId="Hyperlink">
    <w:name w:val="Hyperlink"/>
    <w:basedOn w:val="DefaultParagraphFont"/>
    <w:uiPriority w:val="99"/>
    <w:unhideWhenUsed/>
    <w:rsid w:val="00347F9B"/>
    <w:rPr>
      <w:color w:val="467886" w:themeColor="hyperlink"/>
      <w:u w:val="single"/>
    </w:rPr>
  </w:style>
  <w:style w:type="character" w:styleId="UnresolvedMention">
    <w:name w:val="Unresolved Mention"/>
    <w:basedOn w:val="DefaultParagraphFont"/>
    <w:uiPriority w:val="99"/>
    <w:semiHidden/>
    <w:unhideWhenUsed/>
    <w:rsid w:val="00347F9B"/>
    <w:rPr>
      <w:color w:val="605E5C"/>
      <w:shd w:val="clear" w:color="auto" w:fill="E1DFDD"/>
    </w:rPr>
  </w:style>
  <w:style w:type="table" w:styleId="TableGrid">
    <w:name w:val="Table Grid"/>
    <w:basedOn w:val="TableNormal"/>
    <w:uiPriority w:val="39"/>
    <w:rsid w:val="00E92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0B5268"/>
    <w:pPr>
      <w:widowControl w:val="0"/>
      <w:autoSpaceDE w:val="0"/>
      <w:autoSpaceDN w:val="0"/>
    </w:pPr>
    <w:rPr>
      <w:rFonts w:ascii="Calibri" w:eastAsia="Calibri" w:hAnsi="Calibri" w:cs="Calibri"/>
      <w:sz w:val="20"/>
      <w:szCs w:val="20"/>
      <w:lang w:val="en-US" w:eastAsia="en-US"/>
    </w:rPr>
  </w:style>
  <w:style w:type="character" w:customStyle="1" w:styleId="BodyTextChar">
    <w:name w:val="Body Text Char"/>
    <w:basedOn w:val="DefaultParagraphFont"/>
    <w:link w:val="BodyText"/>
    <w:rsid w:val="000B5268"/>
    <w:rPr>
      <w:rFonts w:ascii="Calibri" w:eastAsia="Calibri" w:hAnsi="Calibri" w:cs="Calibri"/>
      <w:kern w:val="0"/>
      <w:sz w:val="20"/>
      <w:szCs w:val="20"/>
      <w:lang w:val="en-US"/>
      <w14:ligatures w14:val="none"/>
    </w:rPr>
  </w:style>
  <w:style w:type="paragraph" w:customStyle="1" w:styleId="AMPParagraphnormal">
    <w:name w:val="AMP Paragraph normal"/>
    <w:basedOn w:val="BodyText"/>
    <w:link w:val="AMPParagraphnormalChar"/>
    <w:qFormat/>
    <w:rsid w:val="000B5268"/>
    <w:pPr>
      <w:widowControl/>
      <w:autoSpaceDE/>
      <w:autoSpaceDN/>
      <w:spacing w:after="200"/>
    </w:pPr>
    <w:rPr>
      <w:rFonts w:eastAsia="Times New Roman" w:cs="Times New Roman"/>
      <w:lang w:val="x-none"/>
    </w:rPr>
  </w:style>
  <w:style w:type="character" w:customStyle="1" w:styleId="AMPParagraphnormalChar">
    <w:name w:val="AMP Paragraph normal Char"/>
    <w:link w:val="AMPParagraphnormal"/>
    <w:rsid w:val="000B5268"/>
    <w:rPr>
      <w:rFonts w:ascii="Calibri" w:eastAsia="Times New Roman" w:hAnsi="Calibri" w:cs="Times New Roman"/>
      <w:kern w:val="0"/>
      <w:sz w:val="20"/>
      <w:szCs w:val="20"/>
      <w:lang w:val="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88989">
      <w:bodyDiv w:val="1"/>
      <w:marLeft w:val="0"/>
      <w:marRight w:val="0"/>
      <w:marTop w:val="0"/>
      <w:marBottom w:val="0"/>
      <w:divBdr>
        <w:top w:val="none" w:sz="0" w:space="0" w:color="auto"/>
        <w:left w:val="none" w:sz="0" w:space="0" w:color="auto"/>
        <w:bottom w:val="none" w:sz="0" w:space="0" w:color="auto"/>
        <w:right w:val="none" w:sz="0" w:space="0" w:color="auto"/>
      </w:divBdr>
    </w:div>
    <w:div w:id="383676369">
      <w:bodyDiv w:val="1"/>
      <w:marLeft w:val="0"/>
      <w:marRight w:val="0"/>
      <w:marTop w:val="0"/>
      <w:marBottom w:val="0"/>
      <w:divBdr>
        <w:top w:val="none" w:sz="0" w:space="0" w:color="auto"/>
        <w:left w:val="none" w:sz="0" w:space="0" w:color="auto"/>
        <w:bottom w:val="none" w:sz="0" w:space="0" w:color="auto"/>
        <w:right w:val="none" w:sz="0" w:space="0" w:color="auto"/>
      </w:divBdr>
    </w:div>
    <w:div w:id="438793120">
      <w:bodyDiv w:val="1"/>
      <w:marLeft w:val="0"/>
      <w:marRight w:val="0"/>
      <w:marTop w:val="0"/>
      <w:marBottom w:val="0"/>
      <w:divBdr>
        <w:top w:val="none" w:sz="0" w:space="0" w:color="auto"/>
        <w:left w:val="none" w:sz="0" w:space="0" w:color="auto"/>
        <w:bottom w:val="none" w:sz="0" w:space="0" w:color="auto"/>
        <w:right w:val="none" w:sz="0" w:space="0" w:color="auto"/>
      </w:divBdr>
    </w:div>
    <w:div w:id="477308577">
      <w:bodyDiv w:val="1"/>
      <w:marLeft w:val="0"/>
      <w:marRight w:val="0"/>
      <w:marTop w:val="0"/>
      <w:marBottom w:val="0"/>
      <w:divBdr>
        <w:top w:val="none" w:sz="0" w:space="0" w:color="auto"/>
        <w:left w:val="none" w:sz="0" w:space="0" w:color="auto"/>
        <w:bottom w:val="none" w:sz="0" w:space="0" w:color="auto"/>
        <w:right w:val="none" w:sz="0" w:space="0" w:color="auto"/>
      </w:divBdr>
    </w:div>
    <w:div w:id="558171178">
      <w:bodyDiv w:val="1"/>
      <w:marLeft w:val="0"/>
      <w:marRight w:val="0"/>
      <w:marTop w:val="0"/>
      <w:marBottom w:val="0"/>
      <w:divBdr>
        <w:top w:val="none" w:sz="0" w:space="0" w:color="auto"/>
        <w:left w:val="none" w:sz="0" w:space="0" w:color="auto"/>
        <w:bottom w:val="none" w:sz="0" w:space="0" w:color="auto"/>
        <w:right w:val="none" w:sz="0" w:space="0" w:color="auto"/>
      </w:divBdr>
      <w:divsChild>
        <w:div w:id="1929343982">
          <w:marLeft w:val="0"/>
          <w:marRight w:val="0"/>
          <w:marTop w:val="0"/>
          <w:marBottom w:val="0"/>
          <w:divBdr>
            <w:top w:val="none" w:sz="0" w:space="0" w:color="auto"/>
            <w:left w:val="none" w:sz="0" w:space="0" w:color="auto"/>
            <w:bottom w:val="none" w:sz="0" w:space="0" w:color="auto"/>
            <w:right w:val="none" w:sz="0" w:space="0" w:color="auto"/>
          </w:divBdr>
          <w:divsChild>
            <w:div w:id="932781720">
              <w:marLeft w:val="0"/>
              <w:marRight w:val="0"/>
              <w:marTop w:val="0"/>
              <w:marBottom w:val="0"/>
              <w:divBdr>
                <w:top w:val="none" w:sz="0" w:space="0" w:color="auto"/>
                <w:left w:val="none" w:sz="0" w:space="0" w:color="auto"/>
                <w:bottom w:val="none" w:sz="0" w:space="0" w:color="auto"/>
                <w:right w:val="none" w:sz="0" w:space="0" w:color="auto"/>
              </w:divBdr>
              <w:divsChild>
                <w:div w:id="1793160822">
                  <w:marLeft w:val="0"/>
                  <w:marRight w:val="0"/>
                  <w:marTop w:val="0"/>
                  <w:marBottom w:val="0"/>
                  <w:divBdr>
                    <w:top w:val="none" w:sz="0" w:space="0" w:color="auto"/>
                    <w:left w:val="none" w:sz="0" w:space="0" w:color="auto"/>
                    <w:bottom w:val="none" w:sz="0" w:space="0" w:color="auto"/>
                    <w:right w:val="none" w:sz="0" w:space="0" w:color="auto"/>
                  </w:divBdr>
                </w:div>
              </w:divsChild>
            </w:div>
            <w:div w:id="1268661265">
              <w:marLeft w:val="0"/>
              <w:marRight w:val="0"/>
              <w:marTop w:val="0"/>
              <w:marBottom w:val="0"/>
              <w:divBdr>
                <w:top w:val="none" w:sz="0" w:space="0" w:color="auto"/>
                <w:left w:val="none" w:sz="0" w:space="0" w:color="auto"/>
                <w:bottom w:val="none" w:sz="0" w:space="0" w:color="auto"/>
                <w:right w:val="none" w:sz="0" w:space="0" w:color="auto"/>
              </w:divBdr>
              <w:divsChild>
                <w:div w:id="7330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6977">
      <w:bodyDiv w:val="1"/>
      <w:marLeft w:val="0"/>
      <w:marRight w:val="0"/>
      <w:marTop w:val="0"/>
      <w:marBottom w:val="0"/>
      <w:divBdr>
        <w:top w:val="none" w:sz="0" w:space="0" w:color="auto"/>
        <w:left w:val="none" w:sz="0" w:space="0" w:color="auto"/>
        <w:bottom w:val="none" w:sz="0" w:space="0" w:color="auto"/>
        <w:right w:val="none" w:sz="0" w:space="0" w:color="auto"/>
      </w:divBdr>
    </w:div>
    <w:div w:id="597758518">
      <w:bodyDiv w:val="1"/>
      <w:marLeft w:val="0"/>
      <w:marRight w:val="0"/>
      <w:marTop w:val="0"/>
      <w:marBottom w:val="0"/>
      <w:divBdr>
        <w:top w:val="none" w:sz="0" w:space="0" w:color="auto"/>
        <w:left w:val="none" w:sz="0" w:space="0" w:color="auto"/>
        <w:bottom w:val="none" w:sz="0" w:space="0" w:color="auto"/>
        <w:right w:val="none" w:sz="0" w:space="0" w:color="auto"/>
      </w:divBdr>
    </w:div>
    <w:div w:id="1147697849">
      <w:bodyDiv w:val="1"/>
      <w:marLeft w:val="0"/>
      <w:marRight w:val="0"/>
      <w:marTop w:val="0"/>
      <w:marBottom w:val="0"/>
      <w:divBdr>
        <w:top w:val="none" w:sz="0" w:space="0" w:color="auto"/>
        <w:left w:val="none" w:sz="0" w:space="0" w:color="auto"/>
        <w:bottom w:val="none" w:sz="0" w:space="0" w:color="auto"/>
        <w:right w:val="none" w:sz="0" w:space="0" w:color="auto"/>
      </w:divBdr>
    </w:div>
    <w:div w:id="1253320674">
      <w:bodyDiv w:val="1"/>
      <w:marLeft w:val="0"/>
      <w:marRight w:val="0"/>
      <w:marTop w:val="0"/>
      <w:marBottom w:val="0"/>
      <w:divBdr>
        <w:top w:val="none" w:sz="0" w:space="0" w:color="auto"/>
        <w:left w:val="none" w:sz="0" w:space="0" w:color="auto"/>
        <w:bottom w:val="none" w:sz="0" w:space="0" w:color="auto"/>
        <w:right w:val="none" w:sz="0" w:space="0" w:color="auto"/>
      </w:divBdr>
    </w:div>
    <w:div w:id="1278102485">
      <w:bodyDiv w:val="1"/>
      <w:marLeft w:val="0"/>
      <w:marRight w:val="0"/>
      <w:marTop w:val="0"/>
      <w:marBottom w:val="0"/>
      <w:divBdr>
        <w:top w:val="none" w:sz="0" w:space="0" w:color="auto"/>
        <w:left w:val="none" w:sz="0" w:space="0" w:color="auto"/>
        <w:bottom w:val="none" w:sz="0" w:space="0" w:color="auto"/>
        <w:right w:val="none" w:sz="0" w:space="0" w:color="auto"/>
      </w:divBdr>
    </w:div>
    <w:div w:id="1299528513">
      <w:bodyDiv w:val="1"/>
      <w:marLeft w:val="0"/>
      <w:marRight w:val="0"/>
      <w:marTop w:val="0"/>
      <w:marBottom w:val="0"/>
      <w:divBdr>
        <w:top w:val="none" w:sz="0" w:space="0" w:color="auto"/>
        <w:left w:val="none" w:sz="0" w:space="0" w:color="auto"/>
        <w:bottom w:val="none" w:sz="0" w:space="0" w:color="auto"/>
        <w:right w:val="none" w:sz="0" w:space="0" w:color="auto"/>
      </w:divBdr>
    </w:div>
    <w:div w:id="1396273979">
      <w:bodyDiv w:val="1"/>
      <w:marLeft w:val="0"/>
      <w:marRight w:val="0"/>
      <w:marTop w:val="0"/>
      <w:marBottom w:val="0"/>
      <w:divBdr>
        <w:top w:val="none" w:sz="0" w:space="0" w:color="auto"/>
        <w:left w:val="none" w:sz="0" w:space="0" w:color="auto"/>
        <w:bottom w:val="none" w:sz="0" w:space="0" w:color="auto"/>
        <w:right w:val="none" w:sz="0" w:space="0" w:color="auto"/>
      </w:divBdr>
    </w:div>
    <w:div w:id="1450276204">
      <w:bodyDiv w:val="1"/>
      <w:marLeft w:val="0"/>
      <w:marRight w:val="0"/>
      <w:marTop w:val="0"/>
      <w:marBottom w:val="0"/>
      <w:divBdr>
        <w:top w:val="none" w:sz="0" w:space="0" w:color="auto"/>
        <w:left w:val="none" w:sz="0" w:space="0" w:color="auto"/>
        <w:bottom w:val="none" w:sz="0" w:space="0" w:color="auto"/>
        <w:right w:val="none" w:sz="0" w:space="0" w:color="auto"/>
      </w:divBdr>
      <w:divsChild>
        <w:div w:id="374165408">
          <w:marLeft w:val="0"/>
          <w:marRight w:val="0"/>
          <w:marTop w:val="0"/>
          <w:marBottom w:val="0"/>
          <w:divBdr>
            <w:top w:val="none" w:sz="0" w:space="0" w:color="auto"/>
            <w:left w:val="none" w:sz="0" w:space="0" w:color="auto"/>
            <w:bottom w:val="none" w:sz="0" w:space="0" w:color="auto"/>
            <w:right w:val="none" w:sz="0" w:space="0" w:color="auto"/>
          </w:divBdr>
          <w:divsChild>
            <w:div w:id="1823303538">
              <w:marLeft w:val="0"/>
              <w:marRight w:val="0"/>
              <w:marTop w:val="0"/>
              <w:marBottom w:val="0"/>
              <w:divBdr>
                <w:top w:val="none" w:sz="0" w:space="0" w:color="auto"/>
                <w:left w:val="none" w:sz="0" w:space="0" w:color="auto"/>
                <w:bottom w:val="none" w:sz="0" w:space="0" w:color="auto"/>
                <w:right w:val="none" w:sz="0" w:space="0" w:color="auto"/>
              </w:divBdr>
              <w:divsChild>
                <w:div w:id="1594165335">
                  <w:marLeft w:val="0"/>
                  <w:marRight w:val="0"/>
                  <w:marTop w:val="0"/>
                  <w:marBottom w:val="0"/>
                  <w:divBdr>
                    <w:top w:val="none" w:sz="0" w:space="0" w:color="auto"/>
                    <w:left w:val="none" w:sz="0" w:space="0" w:color="auto"/>
                    <w:bottom w:val="none" w:sz="0" w:space="0" w:color="auto"/>
                    <w:right w:val="none" w:sz="0" w:space="0" w:color="auto"/>
                  </w:divBdr>
                </w:div>
                <w:div w:id="1279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98786">
      <w:bodyDiv w:val="1"/>
      <w:marLeft w:val="0"/>
      <w:marRight w:val="0"/>
      <w:marTop w:val="0"/>
      <w:marBottom w:val="0"/>
      <w:divBdr>
        <w:top w:val="none" w:sz="0" w:space="0" w:color="auto"/>
        <w:left w:val="none" w:sz="0" w:space="0" w:color="auto"/>
        <w:bottom w:val="none" w:sz="0" w:space="0" w:color="auto"/>
        <w:right w:val="none" w:sz="0" w:space="0" w:color="auto"/>
      </w:divBdr>
    </w:div>
    <w:div w:id="1692797454">
      <w:bodyDiv w:val="1"/>
      <w:marLeft w:val="0"/>
      <w:marRight w:val="0"/>
      <w:marTop w:val="0"/>
      <w:marBottom w:val="0"/>
      <w:divBdr>
        <w:top w:val="none" w:sz="0" w:space="0" w:color="auto"/>
        <w:left w:val="none" w:sz="0" w:space="0" w:color="auto"/>
        <w:bottom w:val="none" w:sz="0" w:space="0" w:color="auto"/>
        <w:right w:val="none" w:sz="0" w:space="0" w:color="auto"/>
      </w:divBdr>
    </w:div>
    <w:div w:id="1726247949">
      <w:bodyDiv w:val="1"/>
      <w:marLeft w:val="0"/>
      <w:marRight w:val="0"/>
      <w:marTop w:val="0"/>
      <w:marBottom w:val="0"/>
      <w:divBdr>
        <w:top w:val="none" w:sz="0" w:space="0" w:color="auto"/>
        <w:left w:val="none" w:sz="0" w:space="0" w:color="auto"/>
        <w:bottom w:val="none" w:sz="0" w:space="0" w:color="auto"/>
        <w:right w:val="none" w:sz="0" w:space="0" w:color="auto"/>
      </w:divBdr>
      <w:divsChild>
        <w:div w:id="929391462">
          <w:marLeft w:val="0"/>
          <w:marRight w:val="0"/>
          <w:marTop w:val="0"/>
          <w:marBottom w:val="0"/>
          <w:divBdr>
            <w:top w:val="none" w:sz="0" w:space="0" w:color="auto"/>
            <w:left w:val="none" w:sz="0" w:space="0" w:color="auto"/>
            <w:bottom w:val="none" w:sz="0" w:space="0" w:color="auto"/>
            <w:right w:val="none" w:sz="0" w:space="0" w:color="auto"/>
          </w:divBdr>
          <w:divsChild>
            <w:div w:id="2100632432">
              <w:marLeft w:val="0"/>
              <w:marRight w:val="0"/>
              <w:marTop w:val="0"/>
              <w:marBottom w:val="0"/>
              <w:divBdr>
                <w:top w:val="none" w:sz="0" w:space="0" w:color="auto"/>
                <w:left w:val="none" w:sz="0" w:space="0" w:color="auto"/>
                <w:bottom w:val="none" w:sz="0" w:space="0" w:color="auto"/>
                <w:right w:val="none" w:sz="0" w:space="0" w:color="auto"/>
              </w:divBdr>
              <w:divsChild>
                <w:div w:id="1868566115">
                  <w:marLeft w:val="0"/>
                  <w:marRight w:val="0"/>
                  <w:marTop w:val="0"/>
                  <w:marBottom w:val="0"/>
                  <w:divBdr>
                    <w:top w:val="none" w:sz="0" w:space="0" w:color="auto"/>
                    <w:left w:val="none" w:sz="0" w:space="0" w:color="auto"/>
                    <w:bottom w:val="none" w:sz="0" w:space="0" w:color="auto"/>
                    <w:right w:val="none" w:sz="0" w:space="0" w:color="auto"/>
                  </w:divBdr>
                  <w:divsChild>
                    <w:div w:id="866530981">
                      <w:marLeft w:val="0"/>
                      <w:marRight w:val="0"/>
                      <w:marTop w:val="0"/>
                      <w:marBottom w:val="0"/>
                      <w:divBdr>
                        <w:top w:val="none" w:sz="0" w:space="0" w:color="auto"/>
                        <w:left w:val="none" w:sz="0" w:space="0" w:color="auto"/>
                        <w:bottom w:val="none" w:sz="0" w:space="0" w:color="auto"/>
                        <w:right w:val="none" w:sz="0" w:space="0" w:color="auto"/>
                      </w:divBdr>
                      <w:divsChild>
                        <w:div w:id="1284846020">
                          <w:marLeft w:val="0"/>
                          <w:marRight w:val="0"/>
                          <w:marTop w:val="0"/>
                          <w:marBottom w:val="0"/>
                          <w:divBdr>
                            <w:top w:val="none" w:sz="0" w:space="0" w:color="auto"/>
                            <w:left w:val="none" w:sz="0" w:space="0" w:color="auto"/>
                            <w:bottom w:val="none" w:sz="0" w:space="0" w:color="auto"/>
                            <w:right w:val="none" w:sz="0" w:space="0" w:color="auto"/>
                          </w:divBdr>
                          <w:divsChild>
                            <w:div w:id="13544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341842">
      <w:bodyDiv w:val="1"/>
      <w:marLeft w:val="0"/>
      <w:marRight w:val="0"/>
      <w:marTop w:val="0"/>
      <w:marBottom w:val="0"/>
      <w:divBdr>
        <w:top w:val="none" w:sz="0" w:space="0" w:color="auto"/>
        <w:left w:val="none" w:sz="0" w:space="0" w:color="auto"/>
        <w:bottom w:val="none" w:sz="0" w:space="0" w:color="auto"/>
        <w:right w:val="none" w:sz="0" w:space="0" w:color="auto"/>
      </w:divBdr>
    </w:div>
    <w:div w:id="1796945828">
      <w:bodyDiv w:val="1"/>
      <w:marLeft w:val="0"/>
      <w:marRight w:val="0"/>
      <w:marTop w:val="0"/>
      <w:marBottom w:val="0"/>
      <w:divBdr>
        <w:top w:val="none" w:sz="0" w:space="0" w:color="auto"/>
        <w:left w:val="none" w:sz="0" w:space="0" w:color="auto"/>
        <w:bottom w:val="none" w:sz="0" w:space="0" w:color="auto"/>
        <w:right w:val="none" w:sz="0" w:space="0" w:color="auto"/>
      </w:divBdr>
    </w:div>
    <w:div w:id="2027437879">
      <w:bodyDiv w:val="1"/>
      <w:marLeft w:val="0"/>
      <w:marRight w:val="0"/>
      <w:marTop w:val="0"/>
      <w:marBottom w:val="0"/>
      <w:divBdr>
        <w:top w:val="none" w:sz="0" w:space="0" w:color="auto"/>
        <w:left w:val="none" w:sz="0" w:space="0" w:color="auto"/>
        <w:bottom w:val="none" w:sz="0" w:space="0" w:color="auto"/>
        <w:right w:val="none" w:sz="0" w:space="0" w:color="auto"/>
      </w:divBdr>
      <w:divsChild>
        <w:div w:id="984550691">
          <w:marLeft w:val="0"/>
          <w:marRight w:val="0"/>
          <w:marTop w:val="0"/>
          <w:marBottom w:val="0"/>
          <w:divBdr>
            <w:top w:val="none" w:sz="0" w:space="0" w:color="auto"/>
            <w:left w:val="none" w:sz="0" w:space="0" w:color="auto"/>
            <w:bottom w:val="none" w:sz="0" w:space="0" w:color="auto"/>
            <w:right w:val="none" w:sz="0" w:space="0" w:color="auto"/>
          </w:divBdr>
          <w:divsChild>
            <w:div w:id="458651254">
              <w:marLeft w:val="0"/>
              <w:marRight w:val="0"/>
              <w:marTop w:val="0"/>
              <w:marBottom w:val="0"/>
              <w:divBdr>
                <w:top w:val="none" w:sz="0" w:space="0" w:color="auto"/>
                <w:left w:val="none" w:sz="0" w:space="0" w:color="auto"/>
                <w:bottom w:val="none" w:sz="0" w:space="0" w:color="auto"/>
                <w:right w:val="none" w:sz="0" w:space="0" w:color="auto"/>
              </w:divBdr>
              <w:divsChild>
                <w:div w:id="54622427">
                  <w:marLeft w:val="0"/>
                  <w:marRight w:val="0"/>
                  <w:marTop w:val="0"/>
                  <w:marBottom w:val="0"/>
                  <w:divBdr>
                    <w:top w:val="none" w:sz="0" w:space="0" w:color="auto"/>
                    <w:left w:val="none" w:sz="0" w:space="0" w:color="auto"/>
                    <w:bottom w:val="none" w:sz="0" w:space="0" w:color="auto"/>
                    <w:right w:val="none" w:sz="0" w:space="0" w:color="auto"/>
                  </w:divBdr>
                </w:div>
                <w:div w:id="2133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5635">
      <w:bodyDiv w:val="1"/>
      <w:marLeft w:val="0"/>
      <w:marRight w:val="0"/>
      <w:marTop w:val="0"/>
      <w:marBottom w:val="0"/>
      <w:divBdr>
        <w:top w:val="none" w:sz="0" w:space="0" w:color="auto"/>
        <w:left w:val="none" w:sz="0" w:space="0" w:color="auto"/>
        <w:bottom w:val="none" w:sz="0" w:space="0" w:color="auto"/>
        <w:right w:val="none" w:sz="0" w:space="0" w:color="auto"/>
      </w:divBdr>
      <w:divsChild>
        <w:div w:id="494687551">
          <w:marLeft w:val="0"/>
          <w:marRight w:val="0"/>
          <w:marTop w:val="0"/>
          <w:marBottom w:val="0"/>
          <w:divBdr>
            <w:top w:val="none" w:sz="0" w:space="0" w:color="auto"/>
            <w:left w:val="none" w:sz="0" w:space="0" w:color="auto"/>
            <w:bottom w:val="none" w:sz="0" w:space="0" w:color="auto"/>
            <w:right w:val="none" w:sz="0" w:space="0" w:color="auto"/>
          </w:divBdr>
          <w:divsChild>
            <w:div w:id="1345280928">
              <w:marLeft w:val="0"/>
              <w:marRight w:val="0"/>
              <w:marTop w:val="0"/>
              <w:marBottom w:val="0"/>
              <w:divBdr>
                <w:top w:val="none" w:sz="0" w:space="0" w:color="auto"/>
                <w:left w:val="none" w:sz="0" w:space="0" w:color="auto"/>
                <w:bottom w:val="none" w:sz="0" w:space="0" w:color="auto"/>
                <w:right w:val="none" w:sz="0" w:space="0" w:color="auto"/>
              </w:divBdr>
              <w:divsChild>
                <w:div w:id="306208887">
                  <w:marLeft w:val="0"/>
                  <w:marRight w:val="0"/>
                  <w:marTop w:val="0"/>
                  <w:marBottom w:val="0"/>
                  <w:divBdr>
                    <w:top w:val="none" w:sz="0" w:space="0" w:color="auto"/>
                    <w:left w:val="none" w:sz="0" w:space="0" w:color="auto"/>
                    <w:bottom w:val="none" w:sz="0" w:space="0" w:color="auto"/>
                    <w:right w:val="none" w:sz="0" w:space="0" w:color="auto"/>
                  </w:divBdr>
                  <w:divsChild>
                    <w:div w:id="1813014342">
                      <w:marLeft w:val="0"/>
                      <w:marRight w:val="0"/>
                      <w:marTop w:val="0"/>
                      <w:marBottom w:val="0"/>
                      <w:divBdr>
                        <w:top w:val="none" w:sz="0" w:space="0" w:color="auto"/>
                        <w:left w:val="none" w:sz="0" w:space="0" w:color="auto"/>
                        <w:bottom w:val="none" w:sz="0" w:space="0" w:color="auto"/>
                        <w:right w:val="none" w:sz="0" w:space="0" w:color="auto"/>
                      </w:divBdr>
                      <w:divsChild>
                        <w:div w:id="1913078107">
                          <w:marLeft w:val="0"/>
                          <w:marRight w:val="0"/>
                          <w:marTop w:val="0"/>
                          <w:marBottom w:val="0"/>
                          <w:divBdr>
                            <w:top w:val="none" w:sz="0" w:space="0" w:color="auto"/>
                            <w:left w:val="none" w:sz="0" w:space="0" w:color="auto"/>
                            <w:bottom w:val="none" w:sz="0" w:space="0" w:color="auto"/>
                            <w:right w:val="none" w:sz="0" w:space="0" w:color="auto"/>
                          </w:divBdr>
                          <w:divsChild>
                            <w:div w:id="1513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5</Pages>
  <Words>2301</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Dover</dc:creator>
  <cp:keywords/>
  <dc:description/>
  <cp:lastModifiedBy>Andrew Dover</cp:lastModifiedBy>
  <cp:revision>7</cp:revision>
  <dcterms:created xsi:type="dcterms:W3CDTF">2024-05-31T02:57:00Z</dcterms:created>
  <dcterms:modified xsi:type="dcterms:W3CDTF">2024-05-31T10:47:00Z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K68413580</vt:lpwstr>
  </property>
</Properties>
</file>