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6182C" w14:textId="14781356" w:rsidR="008576CA" w:rsidRPr="008576CA" w:rsidRDefault="0044393F" w:rsidP="009A3F7F">
      <w:pPr>
        <w:spacing w:after="0"/>
        <w:rPr>
          <w:b/>
          <w:bCs/>
          <w:lang w:val="en-GB"/>
        </w:rPr>
      </w:pPr>
      <w:r w:rsidRPr="00FE34B7">
        <w:rPr>
          <w:b/>
          <w:bCs/>
          <w:noProof/>
          <w:sz w:val="42"/>
          <w:szCs w:val="42"/>
        </w:rPr>
        <w:drawing>
          <wp:anchor distT="0" distB="0" distL="114300" distR="114300" simplePos="0" relativeHeight="251659264" behindDoc="0" locked="0" layoutInCell="1" allowOverlap="1" wp14:anchorId="6C7A90F4" wp14:editId="42C6725D">
            <wp:simplePos x="0" y="0"/>
            <wp:positionH relativeFrom="margin">
              <wp:align>right</wp:align>
            </wp:positionH>
            <wp:positionV relativeFrom="paragraph">
              <wp:posOffset>-1124585</wp:posOffset>
            </wp:positionV>
            <wp:extent cx="2419350" cy="111442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6CA" w:rsidRPr="008576CA">
        <w:rPr>
          <w:b/>
          <w:bCs/>
          <w:lang w:val="en-GB"/>
        </w:rPr>
        <w:t xml:space="preserve">Overview </w:t>
      </w:r>
    </w:p>
    <w:p w14:paraId="5BFB7C10" w14:textId="4B349D21" w:rsidR="008576CA" w:rsidRDefault="008576CA" w:rsidP="008576CA">
      <w:pPr>
        <w:jc w:val="both"/>
        <w:rPr>
          <w:lang w:val="en-GB"/>
        </w:rPr>
      </w:pPr>
      <w:r>
        <w:rPr>
          <w:lang w:val="en-GB"/>
        </w:rPr>
        <w:t xml:space="preserve">The Shire of Pingelly has long been extremely concerned regarding the Department of Transport’s </w:t>
      </w:r>
      <w:r w:rsidR="00832630">
        <w:rPr>
          <w:lang w:val="en-GB"/>
        </w:rPr>
        <w:t xml:space="preserve">Student Transport </w:t>
      </w:r>
      <w:r w:rsidR="00AC5B5B">
        <w:rPr>
          <w:lang w:val="en-GB"/>
        </w:rPr>
        <w:t xml:space="preserve">Assistance </w:t>
      </w:r>
      <w:r w:rsidR="00893F76">
        <w:rPr>
          <w:lang w:val="en-GB"/>
        </w:rPr>
        <w:t>P</w:t>
      </w:r>
      <w:r>
        <w:rPr>
          <w:lang w:val="en-GB"/>
        </w:rPr>
        <w:t xml:space="preserve">olicy in relation to student transport as it has significant impacts for the Shire and residents in relation to student outcomes, equity and economic development. These impacts are articulated in the below sections. </w:t>
      </w:r>
    </w:p>
    <w:p w14:paraId="0501409C" w14:textId="617664F1" w:rsidR="0044393F" w:rsidRPr="008576CA" w:rsidRDefault="0044393F" w:rsidP="00911764">
      <w:pPr>
        <w:spacing w:after="0"/>
        <w:jc w:val="both"/>
        <w:rPr>
          <w:b/>
          <w:bCs/>
          <w:lang w:val="en-GB"/>
        </w:rPr>
      </w:pPr>
      <w:r w:rsidRPr="008576CA">
        <w:rPr>
          <w:b/>
          <w:bCs/>
          <w:lang w:val="en-GB"/>
        </w:rPr>
        <w:t>Background</w:t>
      </w:r>
    </w:p>
    <w:p w14:paraId="771073C9" w14:textId="62277ADF" w:rsidR="006F1FCF" w:rsidRDefault="005F3610" w:rsidP="008576CA">
      <w:pPr>
        <w:jc w:val="both"/>
        <w:rPr>
          <w:lang w:val="en-GB"/>
        </w:rPr>
      </w:pPr>
      <w:r>
        <w:rPr>
          <w:lang w:val="en-GB"/>
        </w:rPr>
        <w:t xml:space="preserve">Following the closure of Pingelly Senior High School in 2005, high school students have been required to attend the Brookton District High School, Narrogin Senior High School or </w:t>
      </w:r>
      <w:r w:rsidR="00985161">
        <w:rPr>
          <w:lang w:val="en-GB"/>
        </w:rPr>
        <w:t xml:space="preserve">St Matthew’s Catholic School in Narrogin. The current </w:t>
      </w:r>
      <w:r w:rsidR="00950F33">
        <w:rPr>
          <w:lang w:val="en-GB"/>
        </w:rPr>
        <w:t>Student Transport</w:t>
      </w:r>
      <w:r w:rsidR="00AC5B5B" w:rsidRPr="00AC5B5B">
        <w:rPr>
          <w:lang w:val="en-GB"/>
        </w:rPr>
        <w:t xml:space="preserve"> </w:t>
      </w:r>
      <w:r w:rsidR="00AC5B5B">
        <w:rPr>
          <w:lang w:val="en-GB"/>
        </w:rPr>
        <w:t>Assistance</w:t>
      </w:r>
      <w:r w:rsidR="00985161">
        <w:rPr>
          <w:lang w:val="en-GB"/>
        </w:rPr>
        <w:t xml:space="preserve"> Policy only provides transport to the closest available school – which is Brookton District High School. Unfortunately, this school only provides a limited range of subjects in comparison to the schools in Narrogin. In addition, it only provides education up until Year 10 at which point the options are to leave school or to attend one of the schools in Narrogin. </w:t>
      </w:r>
      <w:r w:rsidR="006F1FCF">
        <w:rPr>
          <w:lang w:val="en-GB"/>
        </w:rPr>
        <w:t>Under the current policy</w:t>
      </w:r>
      <w:r w:rsidR="00F518CB">
        <w:rPr>
          <w:lang w:val="en-GB"/>
        </w:rPr>
        <w:t xml:space="preserve">, transport is also provided for Year 11 and 12 students </w:t>
      </w:r>
      <w:r w:rsidR="00E37BD1">
        <w:rPr>
          <w:lang w:val="en-GB"/>
        </w:rPr>
        <w:t>to attend Narrogin Senior High School.</w:t>
      </w:r>
    </w:p>
    <w:p w14:paraId="00CE8301" w14:textId="5772CF1D" w:rsidR="0044393F" w:rsidRPr="00911764" w:rsidRDefault="0044393F" w:rsidP="00911764">
      <w:pPr>
        <w:spacing w:after="0"/>
        <w:jc w:val="both"/>
        <w:rPr>
          <w:b/>
          <w:bCs/>
          <w:lang w:val="en-GB"/>
        </w:rPr>
      </w:pPr>
      <w:r w:rsidRPr="00911764">
        <w:rPr>
          <w:b/>
          <w:bCs/>
          <w:lang w:val="en-GB"/>
        </w:rPr>
        <w:t>Student Outcomes</w:t>
      </w:r>
    </w:p>
    <w:p w14:paraId="6A80824B" w14:textId="6C220816" w:rsidR="00985161" w:rsidRDefault="00911764" w:rsidP="008576CA">
      <w:pPr>
        <w:jc w:val="both"/>
        <w:rPr>
          <w:lang w:val="en-GB"/>
        </w:rPr>
      </w:pPr>
      <w:r>
        <w:rPr>
          <w:lang w:val="en-GB"/>
        </w:rPr>
        <w:t>It is very evident that th</w:t>
      </w:r>
      <w:r w:rsidR="00D70FBB">
        <w:rPr>
          <w:lang w:val="en-GB"/>
        </w:rPr>
        <w:t>e current</w:t>
      </w:r>
      <w:r>
        <w:rPr>
          <w:lang w:val="en-GB"/>
        </w:rPr>
        <w:t xml:space="preserve"> </w:t>
      </w:r>
      <w:r w:rsidR="00AC5B5B">
        <w:rPr>
          <w:lang w:val="en-GB"/>
        </w:rPr>
        <w:t>S</w:t>
      </w:r>
      <w:r>
        <w:rPr>
          <w:lang w:val="en-GB"/>
        </w:rPr>
        <w:t xml:space="preserve">tudent </w:t>
      </w:r>
      <w:r w:rsidR="00AC5B5B">
        <w:rPr>
          <w:lang w:val="en-GB"/>
        </w:rPr>
        <w:t>T</w:t>
      </w:r>
      <w:r>
        <w:rPr>
          <w:lang w:val="en-GB"/>
        </w:rPr>
        <w:t xml:space="preserve">ransport </w:t>
      </w:r>
      <w:r w:rsidR="00AC5B5B">
        <w:rPr>
          <w:lang w:val="en-GB"/>
        </w:rPr>
        <w:t>Assistance</w:t>
      </w:r>
      <w:r w:rsidR="00AC5B5B">
        <w:rPr>
          <w:lang w:val="en-GB"/>
        </w:rPr>
        <w:t xml:space="preserve"> P</w:t>
      </w:r>
      <w:r>
        <w:rPr>
          <w:lang w:val="en-GB"/>
        </w:rPr>
        <w:t xml:space="preserve">olicy has failed the people of Pingelly. The town of Pingelly has the following Highest Level of Educational Attainment in comparison to Western Australia and Australia: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2"/>
        <w:gridCol w:w="2126"/>
        <w:gridCol w:w="2127"/>
        <w:gridCol w:w="1791"/>
      </w:tblGrid>
      <w:tr w:rsidR="00911764" w14:paraId="110DCE7F" w14:textId="77777777" w:rsidTr="00911764">
        <w:tc>
          <w:tcPr>
            <w:tcW w:w="2972" w:type="dxa"/>
          </w:tcPr>
          <w:p w14:paraId="0DE26DC4" w14:textId="5B4092BE" w:rsidR="00911764" w:rsidRDefault="00911764" w:rsidP="008576CA">
            <w:pPr>
              <w:jc w:val="both"/>
              <w:rPr>
                <w:lang w:val="en-GB"/>
              </w:rPr>
            </w:pPr>
            <w:r>
              <w:rPr>
                <w:lang w:val="en-GB"/>
              </w:rPr>
              <w:t xml:space="preserve">Highest Level of Education </w:t>
            </w:r>
          </w:p>
        </w:tc>
        <w:tc>
          <w:tcPr>
            <w:tcW w:w="2126" w:type="dxa"/>
          </w:tcPr>
          <w:p w14:paraId="4299ABAE" w14:textId="50A91DB8" w:rsidR="00911764" w:rsidRDefault="00911764" w:rsidP="00911764">
            <w:pPr>
              <w:jc w:val="center"/>
              <w:rPr>
                <w:lang w:val="en-GB"/>
              </w:rPr>
            </w:pPr>
            <w:r>
              <w:rPr>
                <w:lang w:val="en-GB"/>
              </w:rPr>
              <w:t>Town of Pingelly</w:t>
            </w:r>
          </w:p>
        </w:tc>
        <w:tc>
          <w:tcPr>
            <w:tcW w:w="2127" w:type="dxa"/>
          </w:tcPr>
          <w:p w14:paraId="6C873AD7" w14:textId="1C2FC022" w:rsidR="00911764" w:rsidRDefault="00911764" w:rsidP="00911764">
            <w:pPr>
              <w:jc w:val="center"/>
              <w:rPr>
                <w:lang w:val="en-GB"/>
              </w:rPr>
            </w:pPr>
            <w:r>
              <w:rPr>
                <w:lang w:val="en-GB"/>
              </w:rPr>
              <w:t>Western Australia</w:t>
            </w:r>
          </w:p>
        </w:tc>
        <w:tc>
          <w:tcPr>
            <w:tcW w:w="1791" w:type="dxa"/>
          </w:tcPr>
          <w:p w14:paraId="1C5C03E3" w14:textId="6EEA98A3" w:rsidR="00911764" w:rsidRDefault="00911764" w:rsidP="00911764">
            <w:pPr>
              <w:jc w:val="center"/>
              <w:rPr>
                <w:lang w:val="en-GB"/>
              </w:rPr>
            </w:pPr>
            <w:r>
              <w:rPr>
                <w:lang w:val="en-GB"/>
              </w:rPr>
              <w:t>Australia</w:t>
            </w:r>
          </w:p>
        </w:tc>
      </w:tr>
      <w:tr w:rsidR="00911764" w14:paraId="61B82C63" w14:textId="77777777" w:rsidTr="00911764">
        <w:tc>
          <w:tcPr>
            <w:tcW w:w="2972" w:type="dxa"/>
          </w:tcPr>
          <w:p w14:paraId="59B785FF" w14:textId="3F683B98" w:rsidR="00911764" w:rsidRDefault="00911764" w:rsidP="008576CA">
            <w:pPr>
              <w:jc w:val="both"/>
              <w:rPr>
                <w:lang w:val="en-GB"/>
              </w:rPr>
            </w:pPr>
            <w:r>
              <w:rPr>
                <w:lang w:val="en-GB"/>
              </w:rPr>
              <w:t>Degree Level and above</w:t>
            </w:r>
          </w:p>
        </w:tc>
        <w:tc>
          <w:tcPr>
            <w:tcW w:w="2126" w:type="dxa"/>
          </w:tcPr>
          <w:p w14:paraId="709C79C0" w14:textId="1B55CA59" w:rsidR="00911764" w:rsidRDefault="00911764" w:rsidP="00911764">
            <w:pPr>
              <w:jc w:val="center"/>
              <w:rPr>
                <w:lang w:val="en-GB"/>
              </w:rPr>
            </w:pPr>
            <w:r>
              <w:rPr>
                <w:lang w:val="en-GB"/>
              </w:rPr>
              <w:t>3.9%</w:t>
            </w:r>
          </w:p>
        </w:tc>
        <w:tc>
          <w:tcPr>
            <w:tcW w:w="2127" w:type="dxa"/>
          </w:tcPr>
          <w:p w14:paraId="7EEF173E" w14:textId="7F83FA27" w:rsidR="00911764" w:rsidRDefault="00911764" w:rsidP="00911764">
            <w:pPr>
              <w:jc w:val="center"/>
              <w:rPr>
                <w:lang w:val="en-GB"/>
              </w:rPr>
            </w:pPr>
            <w:r>
              <w:rPr>
                <w:lang w:val="en-GB"/>
              </w:rPr>
              <w:t>20.5%</w:t>
            </w:r>
          </w:p>
        </w:tc>
        <w:tc>
          <w:tcPr>
            <w:tcW w:w="1791" w:type="dxa"/>
          </w:tcPr>
          <w:p w14:paraId="3DF7AD17" w14:textId="07B09272" w:rsidR="00911764" w:rsidRDefault="00911764" w:rsidP="00911764">
            <w:pPr>
              <w:jc w:val="center"/>
              <w:rPr>
                <w:lang w:val="en-GB"/>
              </w:rPr>
            </w:pPr>
            <w:r>
              <w:rPr>
                <w:lang w:val="en-GB"/>
              </w:rPr>
              <w:t>22%</w:t>
            </w:r>
          </w:p>
        </w:tc>
      </w:tr>
      <w:tr w:rsidR="00911764" w14:paraId="6A356DCF" w14:textId="77777777" w:rsidTr="00911764">
        <w:tc>
          <w:tcPr>
            <w:tcW w:w="2972" w:type="dxa"/>
          </w:tcPr>
          <w:p w14:paraId="718BB46B" w14:textId="28F056BE" w:rsidR="00911764" w:rsidRDefault="00911764" w:rsidP="008576CA">
            <w:pPr>
              <w:jc w:val="both"/>
              <w:rPr>
                <w:lang w:val="en-GB"/>
              </w:rPr>
            </w:pPr>
            <w:r>
              <w:rPr>
                <w:lang w:val="en-GB"/>
              </w:rPr>
              <w:t>Year 12</w:t>
            </w:r>
          </w:p>
        </w:tc>
        <w:tc>
          <w:tcPr>
            <w:tcW w:w="2126" w:type="dxa"/>
          </w:tcPr>
          <w:p w14:paraId="179560A3" w14:textId="2159AC4E" w:rsidR="00911764" w:rsidRDefault="00911764" w:rsidP="00911764">
            <w:pPr>
              <w:jc w:val="center"/>
              <w:rPr>
                <w:lang w:val="en-GB"/>
              </w:rPr>
            </w:pPr>
            <w:r>
              <w:rPr>
                <w:lang w:val="en-GB"/>
              </w:rPr>
              <w:t>9.8%</w:t>
            </w:r>
          </w:p>
        </w:tc>
        <w:tc>
          <w:tcPr>
            <w:tcW w:w="2127" w:type="dxa"/>
          </w:tcPr>
          <w:p w14:paraId="1975B0F0" w14:textId="79D5F193" w:rsidR="00911764" w:rsidRDefault="00911764" w:rsidP="00911764">
            <w:pPr>
              <w:jc w:val="center"/>
              <w:rPr>
                <w:lang w:val="en-GB"/>
              </w:rPr>
            </w:pPr>
            <w:r>
              <w:rPr>
                <w:lang w:val="en-GB"/>
              </w:rPr>
              <w:t>16%</w:t>
            </w:r>
          </w:p>
        </w:tc>
        <w:tc>
          <w:tcPr>
            <w:tcW w:w="1791" w:type="dxa"/>
          </w:tcPr>
          <w:p w14:paraId="58A9191E" w14:textId="21132263" w:rsidR="00911764" w:rsidRDefault="00911764" w:rsidP="00911764">
            <w:pPr>
              <w:jc w:val="center"/>
              <w:rPr>
                <w:lang w:val="en-GB"/>
              </w:rPr>
            </w:pPr>
            <w:r>
              <w:rPr>
                <w:lang w:val="en-GB"/>
              </w:rPr>
              <w:t>15.7%</w:t>
            </w:r>
          </w:p>
        </w:tc>
      </w:tr>
      <w:tr w:rsidR="00911764" w14:paraId="42E6D58B" w14:textId="77777777" w:rsidTr="00911764">
        <w:tc>
          <w:tcPr>
            <w:tcW w:w="2972" w:type="dxa"/>
          </w:tcPr>
          <w:p w14:paraId="0F73FAC6" w14:textId="2B360285" w:rsidR="00911764" w:rsidRDefault="00911764" w:rsidP="008576CA">
            <w:pPr>
              <w:jc w:val="both"/>
              <w:rPr>
                <w:lang w:val="en-GB"/>
              </w:rPr>
            </w:pPr>
            <w:r>
              <w:rPr>
                <w:lang w:val="en-GB"/>
              </w:rPr>
              <w:t>Year 10</w:t>
            </w:r>
          </w:p>
        </w:tc>
        <w:tc>
          <w:tcPr>
            <w:tcW w:w="2126" w:type="dxa"/>
          </w:tcPr>
          <w:p w14:paraId="6F684A21" w14:textId="77204AFE" w:rsidR="00911764" w:rsidRDefault="00911764" w:rsidP="00911764">
            <w:pPr>
              <w:jc w:val="center"/>
              <w:rPr>
                <w:lang w:val="en-GB"/>
              </w:rPr>
            </w:pPr>
            <w:r>
              <w:rPr>
                <w:lang w:val="en-GB"/>
              </w:rPr>
              <w:t>21.7%</w:t>
            </w:r>
          </w:p>
        </w:tc>
        <w:tc>
          <w:tcPr>
            <w:tcW w:w="2127" w:type="dxa"/>
          </w:tcPr>
          <w:p w14:paraId="0EF0C9C7" w14:textId="5918AC08" w:rsidR="00911764" w:rsidRDefault="00911764" w:rsidP="00911764">
            <w:pPr>
              <w:jc w:val="center"/>
              <w:rPr>
                <w:lang w:val="en-GB"/>
              </w:rPr>
            </w:pPr>
            <w:r>
              <w:rPr>
                <w:lang w:val="en-GB"/>
              </w:rPr>
              <w:t>11.8%</w:t>
            </w:r>
          </w:p>
        </w:tc>
        <w:tc>
          <w:tcPr>
            <w:tcW w:w="1791" w:type="dxa"/>
          </w:tcPr>
          <w:p w14:paraId="46799F73" w14:textId="65FC8E70" w:rsidR="00911764" w:rsidRDefault="00911764" w:rsidP="00911764">
            <w:pPr>
              <w:jc w:val="center"/>
              <w:rPr>
                <w:lang w:val="en-GB"/>
              </w:rPr>
            </w:pPr>
            <w:r>
              <w:rPr>
                <w:lang w:val="en-GB"/>
              </w:rPr>
              <w:t>10.8%</w:t>
            </w:r>
          </w:p>
        </w:tc>
      </w:tr>
      <w:tr w:rsidR="00911764" w14:paraId="74C5AD09" w14:textId="77777777" w:rsidTr="00911764">
        <w:tc>
          <w:tcPr>
            <w:tcW w:w="2972" w:type="dxa"/>
          </w:tcPr>
          <w:p w14:paraId="0F2D4D42" w14:textId="50286730" w:rsidR="00911764" w:rsidRDefault="00911764" w:rsidP="008576CA">
            <w:pPr>
              <w:jc w:val="both"/>
              <w:rPr>
                <w:lang w:val="en-GB"/>
              </w:rPr>
            </w:pPr>
            <w:r>
              <w:rPr>
                <w:lang w:val="en-GB"/>
              </w:rPr>
              <w:t>Year 9 and below</w:t>
            </w:r>
          </w:p>
        </w:tc>
        <w:tc>
          <w:tcPr>
            <w:tcW w:w="2126" w:type="dxa"/>
          </w:tcPr>
          <w:p w14:paraId="57F98A3B" w14:textId="4CF0ABF5" w:rsidR="00911764" w:rsidRDefault="00911764" w:rsidP="00911764">
            <w:pPr>
              <w:jc w:val="center"/>
              <w:rPr>
                <w:lang w:val="en-GB"/>
              </w:rPr>
            </w:pPr>
            <w:r>
              <w:rPr>
                <w:lang w:val="en-GB"/>
              </w:rPr>
              <w:t>14.4%</w:t>
            </w:r>
          </w:p>
        </w:tc>
        <w:tc>
          <w:tcPr>
            <w:tcW w:w="2127" w:type="dxa"/>
          </w:tcPr>
          <w:p w14:paraId="1B38EE8D" w14:textId="2C44AAE0" w:rsidR="00911764" w:rsidRDefault="00911764" w:rsidP="00911764">
            <w:pPr>
              <w:jc w:val="center"/>
              <w:rPr>
                <w:lang w:val="en-GB"/>
              </w:rPr>
            </w:pPr>
            <w:r>
              <w:rPr>
                <w:lang w:val="en-GB"/>
              </w:rPr>
              <w:t>5.9%</w:t>
            </w:r>
          </w:p>
        </w:tc>
        <w:tc>
          <w:tcPr>
            <w:tcW w:w="1791" w:type="dxa"/>
          </w:tcPr>
          <w:p w14:paraId="72244706" w14:textId="278A50CD" w:rsidR="00911764" w:rsidRDefault="00911764" w:rsidP="00911764">
            <w:pPr>
              <w:jc w:val="center"/>
              <w:rPr>
                <w:lang w:val="en-GB"/>
              </w:rPr>
            </w:pPr>
            <w:r>
              <w:rPr>
                <w:lang w:val="en-GB"/>
              </w:rPr>
              <w:t>8%</w:t>
            </w:r>
          </w:p>
        </w:tc>
      </w:tr>
    </w:tbl>
    <w:p w14:paraId="7678D16F" w14:textId="77777777" w:rsidR="007431A6" w:rsidRDefault="007431A6" w:rsidP="008576CA">
      <w:pPr>
        <w:jc w:val="both"/>
        <w:rPr>
          <w:lang w:val="en-GB"/>
        </w:rPr>
      </w:pPr>
    </w:p>
    <w:p w14:paraId="69D85FC4" w14:textId="436A5F6B" w:rsidR="00911764" w:rsidRDefault="007431A6" w:rsidP="008576CA">
      <w:pPr>
        <w:jc w:val="both"/>
        <w:rPr>
          <w:lang w:val="en-GB"/>
        </w:rPr>
      </w:pPr>
      <w:r>
        <w:rPr>
          <w:lang w:val="en-GB"/>
        </w:rPr>
        <w:t xml:space="preserve">The above data (Census 2016) </w:t>
      </w:r>
      <w:r w:rsidR="00251315">
        <w:rPr>
          <w:lang w:val="en-GB"/>
        </w:rPr>
        <w:t xml:space="preserve">states that 36.1% of Pingelly people have a Year 10 education or below compared with 17.7 % and 18.8% for Western Australia and Australia respectively meaning that in Pingelly a student is twice as likely to leave school at the end of Year 10 or before compared to Western Australia or Australia. This demonstrates the impact of current government policy which requires students to choose between changing schools from Brookton </w:t>
      </w:r>
      <w:r w:rsidR="000F250F">
        <w:rPr>
          <w:lang w:val="en-GB"/>
        </w:rPr>
        <w:t xml:space="preserve">(and Pingelly before 2005) </w:t>
      </w:r>
      <w:r w:rsidR="00251315">
        <w:rPr>
          <w:lang w:val="en-GB"/>
        </w:rPr>
        <w:t>to Narrogin and leaving school altogether at the end of Year 10.</w:t>
      </w:r>
      <w:r w:rsidR="000F250F">
        <w:rPr>
          <w:lang w:val="en-GB"/>
        </w:rPr>
        <w:t xml:space="preserve"> It should be no surprise that many students chose not to continue their education </w:t>
      </w:r>
      <w:r w:rsidR="00F41AD9">
        <w:rPr>
          <w:lang w:val="en-GB"/>
        </w:rPr>
        <w:t xml:space="preserve">given the options provided to them. </w:t>
      </w:r>
    </w:p>
    <w:p w14:paraId="3196F229" w14:textId="5DA30CE7" w:rsidR="000F250F" w:rsidRDefault="000F250F" w:rsidP="008576CA">
      <w:pPr>
        <w:jc w:val="both"/>
        <w:rPr>
          <w:lang w:val="en-GB"/>
        </w:rPr>
      </w:pPr>
      <w:r>
        <w:rPr>
          <w:lang w:val="en-GB"/>
        </w:rPr>
        <w:t xml:space="preserve">The </w:t>
      </w:r>
      <w:r w:rsidR="004B1B1D">
        <w:rPr>
          <w:lang w:val="en-GB"/>
        </w:rPr>
        <w:t xml:space="preserve">longstanding </w:t>
      </w:r>
      <w:r w:rsidR="00893F76">
        <w:rPr>
          <w:lang w:val="en-GB"/>
        </w:rPr>
        <w:t>Student Transport</w:t>
      </w:r>
      <w:r w:rsidR="009856F2" w:rsidRPr="009856F2">
        <w:rPr>
          <w:lang w:val="en-GB"/>
        </w:rPr>
        <w:t xml:space="preserve"> </w:t>
      </w:r>
      <w:r w:rsidR="009856F2">
        <w:rPr>
          <w:lang w:val="en-GB"/>
        </w:rPr>
        <w:t>Assistance</w:t>
      </w:r>
      <w:r w:rsidR="00893F76">
        <w:rPr>
          <w:lang w:val="en-GB"/>
        </w:rPr>
        <w:t xml:space="preserve"> Policy </w:t>
      </w:r>
      <w:r w:rsidR="004B1B1D">
        <w:rPr>
          <w:lang w:val="en-GB"/>
        </w:rPr>
        <w:t xml:space="preserve">has contributed significantly to the above as it forces students to attend Brookton District High School rather than providing a choice for students to attend Narrogin Senior High School from the start of Year 7. If this choice to attend Narrogin Senior High School was provided to students, students would not have the daunting decision either to start a new school at Year 11 as the ‘new student’ or leave school and enter the workforce. The choice at Year 11 then would be starkly different – to continue school with their friends or enter the workforce at a time when none of their peers are making that decision. </w:t>
      </w:r>
    </w:p>
    <w:p w14:paraId="4ECB8338" w14:textId="6003CA5F" w:rsidR="00743CCB" w:rsidRPr="009A3F7F" w:rsidRDefault="004B1B1D" w:rsidP="009A3F7F">
      <w:pPr>
        <w:jc w:val="both"/>
        <w:rPr>
          <w:lang w:val="en-GB"/>
        </w:rPr>
      </w:pPr>
      <w:r>
        <w:rPr>
          <w:lang w:val="en-GB"/>
        </w:rPr>
        <w:t xml:space="preserve">It is clear that </w:t>
      </w:r>
      <w:r w:rsidR="00244BD0">
        <w:rPr>
          <w:lang w:val="en-GB"/>
        </w:rPr>
        <w:t>since 2005</w:t>
      </w:r>
      <w:r w:rsidR="00DD78CB">
        <w:rPr>
          <w:lang w:val="en-GB"/>
        </w:rPr>
        <w:t xml:space="preserve"> in Pingelly</w:t>
      </w:r>
      <w:r w:rsidR="00244BD0">
        <w:rPr>
          <w:lang w:val="en-GB"/>
        </w:rPr>
        <w:t xml:space="preserve">, </w:t>
      </w:r>
      <w:r>
        <w:rPr>
          <w:lang w:val="en-GB"/>
        </w:rPr>
        <w:t xml:space="preserve">the </w:t>
      </w:r>
      <w:r w:rsidR="00893F76">
        <w:rPr>
          <w:lang w:val="en-GB"/>
        </w:rPr>
        <w:t xml:space="preserve">Student Transport </w:t>
      </w:r>
      <w:r w:rsidR="009856F2">
        <w:rPr>
          <w:lang w:val="en-GB"/>
        </w:rPr>
        <w:t>Assistance</w:t>
      </w:r>
      <w:r w:rsidR="009856F2">
        <w:rPr>
          <w:lang w:val="en-GB"/>
        </w:rPr>
        <w:t xml:space="preserve"> </w:t>
      </w:r>
      <w:r w:rsidR="00893F76">
        <w:rPr>
          <w:lang w:val="en-GB"/>
        </w:rPr>
        <w:t xml:space="preserve">Policy </w:t>
      </w:r>
      <w:r>
        <w:rPr>
          <w:lang w:val="en-GB"/>
        </w:rPr>
        <w:t xml:space="preserve">has pushed students to leave school prematurely resulting in low levels of education </w:t>
      </w:r>
      <w:r w:rsidR="009367D0">
        <w:rPr>
          <w:lang w:val="en-GB"/>
        </w:rPr>
        <w:t xml:space="preserve">compared with the state and country </w:t>
      </w:r>
      <w:r>
        <w:rPr>
          <w:lang w:val="en-GB"/>
        </w:rPr>
        <w:t xml:space="preserve">and as a direct consequence is in the lowest 4% most disadvantaged as described by the </w:t>
      </w:r>
      <w:r w:rsidRPr="000F250F">
        <w:rPr>
          <w:lang w:val="en-GB"/>
        </w:rPr>
        <w:t>Index of Education and Occupation (IEO) score</w:t>
      </w:r>
      <w:r>
        <w:rPr>
          <w:lang w:val="en-GB"/>
        </w:rPr>
        <w:t xml:space="preserve"> (Census 2016) in Australia.</w:t>
      </w:r>
    </w:p>
    <w:p w14:paraId="1EB640A2" w14:textId="164421A5" w:rsidR="009E5179" w:rsidRPr="000D1A6D" w:rsidRDefault="004834E5" w:rsidP="000D1A6D">
      <w:pPr>
        <w:spacing w:after="0"/>
        <w:jc w:val="both"/>
        <w:rPr>
          <w:b/>
          <w:bCs/>
          <w:lang w:val="en-GB"/>
        </w:rPr>
      </w:pPr>
      <w:r>
        <w:rPr>
          <w:b/>
          <w:bCs/>
          <w:lang w:val="en-GB"/>
        </w:rPr>
        <w:lastRenderedPageBreak/>
        <w:t>Ine</w:t>
      </w:r>
      <w:r w:rsidR="0044393F" w:rsidRPr="000D1A6D">
        <w:rPr>
          <w:b/>
          <w:bCs/>
          <w:lang w:val="en-GB"/>
        </w:rPr>
        <w:t xml:space="preserve">quity </w:t>
      </w:r>
    </w:p>
    <w:p w14:paraId="121507D7" w14:textId="1F2913B0" w:rsidR="007E5A0A" w:rsidRDefault="00B47F13" w:rsidP="008576CA">
      <w:pPr>
        <w:jc w:val="both"/>
        <w:rPr>
          <w:lang w:val="en-GB"/>
        </w:rPr>
      </w:pPr>
      <w:r>
        <w:rPr>
          <w:lang w:val="en-GB"/>
        </w:rPr>
        <w:t xml:space="preserve">The </w:t>
      </w:r>
      <w:r w:rsidR="004F7415">
        <w:rPr>
          <w:lang w:val="en-GB"/>
        </w:rPr>
        <w:t xml:space="preserve">current policy only provides an option for students to attend their nearest </w:t>
      </w:r>
      <w:r w:rsidR="00915873">
        <w:rPr>
          <w:lang w:val="en-GB"/>
        </w:rPr>
        <w:t xml:space="preserve">school. In regional areas such as Pingelly, this </w:t>
      </w:r>
      <w:r w:rsidR="007C73DF">
        <w:rPr>
          <w:lang w:val="en-GB"/>
        </w:rPr>
        <w:t xml:space="preserve">limits opportunity for students in comparison to their peers in the metropolitan region who have multiple transport options and therefore multiple choices of schools to attend. </w:t>
      </w:r>
      <w:r w:rsidR="005B4DEA">
        <w:rPr>
          <w:lang w:val="en-GB"/>
        </w:rPr>
        <w:t>In this regard, providing only a single option</w:t>
      </w:r>
      <w:r w:rsidR="004A15F8">
        <w:rPr>
          <w:lang w:val="en-GB"/>
        </w:rPr>
        <w:t xml:space="preserve"> when other options are feasible is an example of inequity </w:t>
      </w:r>
      <w:r w:rsidR="00885D34">
        <w:rPr>
          <w:lang w:val="en-GB"/>
        </w:rPr>
        <w:t>and disadvantage that</w:t>
      </w:r>
      <w:r w:rsidR="00983629">
        <w:rPr>
          <w:lang w:val="en-GB"/>
        </w:rPr>
        <w:t xml:space="preserve"> rural,</w:t>
      </w:r>
      <w:r w:rsidR="00885D34">
        <w:rPr>
          <w:lang w:val="en-GB"/>
        </w:rPr>
        <w:t xml:space="preserve"> </w:t>
      </w:r>
      <w:r w:rsidR="00E17E16">
        <w:rPr>
          <w:lang w:val="en-GB"/>
        </w:rPr>
        <w:t>regional</w:t>
      </w:r>
      <w:r w:rsidR="00983629">
        <w:rPr>
          <w:lang w:val="en-GB"/>
        </w:rPr>
        <w:t xml:space="preserve"> and remote areas experience which have a direct impact</w:t>
      </w:r>
      <w:r w:rsidR="00620AAF">
        <w:rPr>
          <w:lang w:val="en-GB"/>
        </w:rPr>
        <w:t xml:space="preserve"> and ongoing</w:t>
      </w:r>
      <w:r w:rsidR="00983629">
        <w:rPr>
          <w:lang w:val="en-GB"/>
        </w:rPr>
        <w:t xml:space="preserve"> upon the</w:t>
      </w:r>
      <w:r w:rsidR="00620AAF">
        <w:rPr>
          <w:lang w:val="en-GB"/>
        </w:rPr>
        <w:t xml:space="preserve"> lives of the people that live here</w:t>
      </w:r>
      <w:r w:rsidR="006011CD">
        <w:rPr>
          <w:lang w:val="en-GB"/>
        </w:rPr>
        <w:t xml:space="preserve">. In the case of Pingelly, </w:t>
      </w:r>
      <w:r w:rsidR="000B5353">
        <w:rPr>
          <w:lang w:val="en-GB"/>
        </w:rPr>
        <w:t xml:space="preserve">transport is only provided under this policy to </w:t>
      </w:r>
      <w:r w:rsidR="005F6C4A">
        <w:rPr>
          <w:lang w:val="en-GB"/>
        </w:rPr>
        <w:t>Brookton District High School for Years 7-10 and Narrogin Senior High School for Years 11 and 12</w:t>
      </w:r>
      <w:r w:rsidR="00B816EC">
        <w:rPr>
          <w:lang w:val="en-GB"/>
        </w:rPr>
        <w:t xml:space="preserve"> which forces students to attend these schools</w:t>
      </w:r>
      <w:r w:rsidR="005F6C4A">
        <w:rPr>
          <w:lang w:val="en-GB"/>
        </w:rPr>
        <w:t xml:space="preserve">. </w:t>
      </w:r>
      <w:r w:rsidR="00B816EC">
        <w:rPr>
          <w:lang w:val="en-GB"/>
        </w:rPr>
        <w:t xml:space="preserve">As Brookton District High School does not offer the range of </w:t>
      </w:r>
      <w:r w:rsidR="00795D4C">
        <w:rPr>
          <w:lang w:val="en-GB"/>
        </w:rPr>
        <w:t>subjects that other metropolitan and the Narrogin Senior High School provides</w:t>
      </w:r>
      <w:r w:rsidR="0066388F">
        <w:rPr>
          <w:lang w:val="en-GB"/>
        </w:rPr>
        <w:t>, students do not currently have the option to study these subjects</w:t>
      </w:r>
      <w:r w:rsidR="00305E88">
        <w:rPr>
          <w:lang w:val="en-GB"/>
        </w:rPr>
        <w:t xml:space="preserve"> which restricts their career possibilities and potential</w:t>
      </w:r>
      <w:r w:rsidR="00D163AA">
        <w:rPr>
          <w:lang w:val="en-GB"/>
        </w:rPr>
        <w:t xml:space="preserve"> and study those subjects that best fit their aptitudes.</w:t>
      </w:r>
      <w:r w:rsidR="00305E88">
        <w:rPr>
          <w:lang w:val="en-GB"/>
        </w:rPr>
        <w:t xml:space="preserve"> </w:t>
      </w:r>
      <w:r w:rsidR="00FE34B1">
        <w:rPr>
          <w:lang w:val="en-GB"/>
        </w:rPr>
        <w:t xml:space="preserve">When students are </w:t>
      </w:r>
      <w:r w:rsidR="009E13B6">
        <w:rPr>
          <w:lang w:val="en-GB"/>
        </w:rPr>
        <w:t xml:space="preserve">study subjects which fit their </w:t>
      </w:r>
      <w:r w:rsidR="00F95CA2">
        <w:rPr>
          <w:lang w:val="en-GB"/>
        </w:rPr>
        <w:t>aptitudes,</w:t>
      </w:r>
      <w:r w:rsidR="009E13B6">
        <w:rPr>
          <w:lang w:val="en-GB"/>
        </w:rPr>
        <w:t xml:space="preserve"> they can grow in confidence and </w:t>
      </w:r>
      <w:r w:rsidR="009C777E">
        <w:rPr>
          <w:lang w:val="en-GB"/>
        </w:rPr>
        <w:t xml:space="preserve">be tested on </w:t>
      </w:r>
      <w:r w:rsidR="005F59DC">
        <w:rPr>
          <w:lang w:val="en-GB"/>
        </w:rPr>
        <w:t>their abilities rather than their inabilities</w:t>
      </w:r>
      <w:r w:rsidR="00A303B3">
        <w:rPr>
          <w:lang w:val="en-GB"/>
        </w:rPr>
        <w:t>. This</w:t>
      </w:r>
      <w:r w:rsidR="00953A32">
        <w:rPr>
          <w:lang w:val="en-GB"/>
        </w:rPr>
        <w:t xml:space="preserve"> concept</w:t>
      </w:r>
      <w:r w:rsidR="00A303B3">
        <w:rPr>
          <w:lang w:val="en-GB"/>
        </w:rPr>
        <w:t xml:space="preserve"> is overstated</w:t>
      </w:r>
      <w:r w:rsidR="00555AB2">
        <w:rPr>
          <w:lang w:val="en-GB"/>
        </w:rPr>
        <w:t xml:space="preserve"> for impact</w:t>
      </w:r>
      <w:r w:rsidR="00A303B3">
        <w:rPr>
          <w:lang w:val="en-GB"/>
        </w:rPr>
        <w:t xml:space="preserve"> with the following </w:t>
      </w:r>
      <w:r w:rsidR="00555AB2">
        <w:rPr>
          <w:lang w:val="en-GB"/>
        </w:rPr>
        <w:t>famous quote</w:t>
      </w:r>
      <w:r w:rsidR="005F59DC" w:rsidRPr="006F051F">
        <w:rPr>
          <w:lang w:val="en-GB"/>
        </w:rPr>
        <w:t xml:space="preserve"> </w:t>
      </w:r>
      <w:r w:rsidR="005F59DC" w:rsidRPr="006F051F">
        <w:rPr>
          <w:i/>
          <w:iCs/>
          <w:lang w:val="en-GB"/>
        </w:rPr>
        <w:t>“</w:t>
      </w:r>
      <w:r w:rsidR="006179BF">
        <w:rPr>
          <w:i/>
          <w:iCs/>
          <w:lang w:val="en-GB"/>
        </w:rPr>
        <w:t>I</w:t>
      </w:r>
      <w:r w:rsidR="005F59DC" w:rsidRPr="006F051F">
        <w:rPr>
          <w:i/>
          <w:iCs/>
          <w:lang w:val="en-GB"/>
        </w:rPr>
        <w:t>f you judge a fish by its ability to climb a tree, it will live its whole life believing that it is stupid”</w:t>
      </w:r>
      <w:r w:rsidR="006F051F">
        <w:rPr>
          <w:i/>
          <w:iCs/>
          <w:lang w:val="en-GB"/>
        </w:rPr>
        <w:t xml:space="preserve"> </w:t>
      </w:r>
      <w:r w:rsidR="006F051F" w:rsidRPr="006F051F">
        <w:rPr>
          <w:lang w:val="en-GB"/>
        </w:rPr>
        <w:t>Author Unknown</w:t>
      </w:r>
      <w:r w:rsidR="005F59DC" w:rsidRPr="006F051F">
        <w:rPr>
          <w:lang w:val="en-GB"/>
        </w:rPr>
        <w:t>. </w:t>
      </w:r>
      <w:r w:rsidR="005F59DC">
        <w:rPr>
          <w:lang w:val="en-GB"/>
        </w:rPr>
        <w:t xml:space="preserve"> </w:t>
      </w:r>
      <w:r w:rsidR="003B4C2C">
        <w:rPr>
          <w:lang w:val="en-GB"/>
        </w:rPr>
        <w:t xml:space="preserve">This alone is </w:t>
      </w:r>
      <w:r w:rsidR="00D163AA">
        <w:rPr>
          <w:lang w:val="en-GB"/>
        </w:rPr>
        <w:t>enough cause to change the Student Transport Policy</w:t>
      </w:r>
      <w:r w:rsidR="00F95CA2">
        <w:rPr>
          <w:lang w:val="en-GB"/>
        </w:rPr>
        <w:t xml:space="preserve">. </w:t>
      </w:r>
    </w:p>
    <w:p w14:paraId="19B5E4C4" w14:textId="489ABF58" w:rsidR="007E5A0A" w:rsidRDefault="00456F01" w:rsidP="008576CA">
      <w:pPr>
        <w:jc w:val="both"/>
        <w:rPr>
          <w:lang w:val="en-GB"/>
        </w:rPr>
      </w:pPr>
      <w:r>
        <w:rPr>
          <w:lang w:val="en-GB"/>
        </w:rPr>
        <w:t>To overcome the</w:t>
      </w:r>
      <w:r w:rsidR="00AA1E8E">
        <w:rPr>
          <w:lang w:val="en-GB"/>
        </w:rPr>
        <w:t xml:space="preserve"> above equity and student outcome</w:t>
      </w:r>
      <w:r>
        <w:rPr>
          <w:lang w:val="en-GB"/>
        </w:rPr>
        <w:t xml:space="preserve"> issu</w:t>
      </w:r>
      <w:r w:rsidR="00AA1E8E">
        <w:rPr>
          <w:lang w:val="en-GB"/>
        </w:rPr>
        <w:t xml:space="preserve">es, </w:t>
      </w:r>
      <w:r w:rsidR="00C94FE9">
        <w:rPr>
          <w:lang w:val="en-GB"/>
        </w:rPr>
        <w:t xml:space="preserve">some Year 7-10 </w:t>
      </w:r>
      <w:r w:rsidR="00F97CCD">
        <w:rPr>
          <w:lang w:val="en-GB"/>
        </w:rPr>
        <w:t xml:space="preserve">students attend Narrogin Senior High School </w:t>
      </w:r>
      <w:r w:rsidR="0078316A">
        <w:rPr>
          <w:lang w:val="en-GB"/>
        </w:rPr>
        <w:t xml:space="preserve">with the idea that they will continue their education from Year 7 through to Year 12 at the same school and have access to a wider diversity of subjects which </w:t>
      </w:r>
      <w:r w:rsidR="00423BA3">
        <w:rPr>
          <w:lang w:val="en-GB"/>
        </w:rPr>
        <w:t xml:space="preserve">are the best fit for their aptitudes. However, these Year 7-10 students are not </w:t>
      </w:r>
      <w:r w:rsidR="00E44F7A">
        <w:rPr>
          <w:lang w:val="en-GB"/>
        </w:rPr>
        <w:t>guaranteed</w:t>
      </w:r>
      <w:r w:rsidR="00423BA3">
        <w:rPr>
          <w:lang w:val="en-GB"/>
        </w:rPr>
        <w:t xml:space="preserve"> seats on the bus that goes from Pingelly </w:t>
      </w:r>
      <w:r w:rsidR="00D71495">
        <w:rPr>
          <w:lang w:val="en-GB"/>
        </w:rPr>
        <w:t>(and Brookton) to Narrogin Senior High School for the Year 11-12 students</w:t>
      </w:r>
      <w:r w:rsidR="00E44F7A">
        <w:rPr>
          <w:lang w:val="en-GB"/>
        </w:rPr>
        <w:t xml:space="preserve"> and for St Matthew’s Catholic School in Narrogin. As a result, </w:t>
      </w:r>
      <w:r w:rsidR="006E0C57">
        <w:rPr>
          <w:lang w:val="en-GB"/>
        </w:rPr>
        <w:t xml:space="preserve">if a Year 7-10 student is on the </w:t>
      </w:r>
      <w:r w:rsidR="00AF5C6F">
        <w:rPr>
          <w:lang w:val="en-GB"/>
        </w:rPr>
        <w:t>bus traveling to Narrogin Senior High School and</w:t>
      </w:r>
      <w:r w:rsidR="00516212">
        <w:rPr>
          <w:lang w:val="en-GB"/>
        </w:rPr>
        <w:t xml:space="preserve"> if</w:t>
      </w:r>
      <w:r w:rsidR="00AF5C6F">
        <w:rPr>
          <w:lang w:val="en-GB"/>
        </w:rPr>
        <w:t xml:space="preserve"> either a Year </w:t>
      </w:r>
      <w:r w:rsidR="00125F2D">
        <w:rPr>
          <w:lang w:val="en-GB"/>
        </w:rPr>
        <w:t>11-12 or fee</w:t>
      </w:r>
      <w:r w:rsidR="00CC45B2">
        <w:rPr>
          <w:lang w:val="en-GB"/>
        </w:rPr>
        <w:t>-</w:t>
      </w:r>
      <w:r w:rsidR="00125F2D">
        <w:rPr>
          <w:lang w:val="en-GB"/>
        </w:rPr>
        <w:t>paying student attending St Matthew’s Catholic School from any year</w:t>
      </w:r>
      <w:r w:rsidR="00ED2C04">
        <w:rPr>
          <w:lang w:val="en-GB"/>
        </w:rPr>
        <w:t xml:space="preserve"> cannot find a seat</w:t>
      </w:r>
      <w:r w:rsidR="00516212">
        <w:rPr>
          <w:lang w:val="en-GB"/>
        </w:rPr>
        <w:t>, the bus driver is obliged to as</w:t>
      </w:r>
      <w:r w:rsidR="00ED2C04">
        <w:rPr>
          <w:lang w:val="en-GB"/>
        </w:rPr>
        <w:t xml:space="preserve"> the Year 7-10 student to exit the bus and </w:t>
      </w:r>
      <w:r w:rsidR="00CC45B2">
        <w:rPr>
          <w:lang w:val="en-GB"/>
        </w:rPr>
        <w:t>will leave the student at the side of the road</w:t>
      </w:r>
      <w:r w:rsidR="00460DAD">
        <w:rPr>
          <w:lang w:val="en-GB"/>
        </w:rPr>
        <w:t xml:space="preserve"> – a potentially dangerous situation for the student</w:t>
      </w:r>
      <w:r w:rsidR="00CC45B2">
        <w:rPr>
          <w:lang w:val="en-GB"/>
        </w:rPr>
        <w:t>. T</w:t>
      </w:r>
      <w:r w:rsidR="00333F81">
        <w:rPr>
          <w:lang w:val="en-GB"/>
        </w:rPr>
        <w:t>he student</w:t>
      </w:r>
      <w:r w:rsidR="0069489C">
        <w:rPr>
          <w:lang w:val="en-GB"/>
        </w:rPr>
        <w:t>’</w:t>
      </w:r>
      <w:r w:rsidR="00333F81">
        <w:rPr>
          <w:lang w:val="en-GB"/>
        </w:rPr>
        <w:t xml:space="preserve">s parent or </w:t>
      </w:r>
      <w:r w:rsidR="00EB45E8">
        <w:rPr>
          <w:lang w:val="en-GB"/>
        </w:rPr>
        <w:t>guardian</w:t>
      </w:r>
      <w:r w:rsidR="00333F81">
        <w:rPr>
          <w:lang w:val="en-GB"/>
        </w:rPr>
        <w:t xml:space="preserve"> are then required to bring the student </w:t>
      </w:r>
      <w:r w:rsidR="00EB45E8">
        <w:rPr>
          <w:lang w:val="en-GB"/>
        </w:rPr>
        <w:t xml:space="preserve">(a 200km round trip) to school. </w:t>
      </w:r>
      <w:r w:rsidR="0069489C">
        <w:rPr>
          <w:lang w:val="en-GB"/>
        </w:rPr>
        <w:t xml:space="preserve">If the parent or guardian is unavailable </w:t>
      </w:r>
      <w:r w:rsidR="00C66608">
        <w:rPr>
          <w:lang w:val="en-GB"/>
        </w:rPr>
        <w:t>for work, medical or other reasons</w:t>
      </w:r>
      <w:r w:rsidR="00790CAC">
        <w:rPr>
          <w:lang w:val="en-GB"/>
        </w:rPr>
        <w:t xml:space="preserve"> and cannot arrange alternative transport</w:t>
      </w:r>
      <w:r w:rsidR="00C66608">
        <w:rPr>
          <w:lang w:val="en-GB"/>
        </w:rPr>
        <w:t xml:space="preserve">, the student </w:t>
      </w:r>
      <w:r w:rsidR="00790CAC">
        <w:rPr>
          <w:lang w:val="en-GB"/>
        </w:rPr>
        <w:t>will</w:t>
      </w:r>
      <w:r w:rsidR="00C66608">
        <w:rPr>
          <w:lang w:val="en-GB"/>
        </w:rPr>
        <w:t xml:space="preserve"> not attend school that day. </w:t>
      </w:r>
      <w:r w:rsidR="005F06CB">
        <w:rPr>
          <w:lang w:val="en-GB"/>
        </w:rPr>
        <w:t>This then counts against their school records of attendance</w:t>
      </w:r>
      <w:r w:rsidR="0064470A">
        <w:rPr>
          <w:lang w:val="en-GB"/>
        </w:rPr>
        <w:t xml:space="preserve"> and </w:t>
      </w:r>
      <w:r w:rsidR="007D1E64">
        <w:rPr>
          <w:lang w:val="en-GB"/>
        </w:rPr>
        <w:t xml:space="preserve">leaves the student trying to catch up academically </w:t>
      </w:r>
      <w:r w:rsidR="00C74311">
        <w:rPr>
          <w:lang w:val="en-GB"/>
        </w:rPr>
        <w:t>to</w:t>
      </w:r>
      <w:r w:rsidR="007D1E64">
        <w:rPr>
          <w:lang w:val="en-GB"/>
        </w:rPr>
        <w:t xml:space="preserve"> their classmates</w:t>
      </w:r>
      <w:r w:rsidR="005F06CB">
        <w:rPr>
          <w:lang w:val="en-GB"/>
        </w:rPr>
        <w:t xml:space="preserve">. </w:t>
      </w:r>
      <w:r w:rsidR="004A0549">
        <w:rPr>
          <w:lang w:val="en-GB"/>
        </w:rPr>
        <w:t>This is</w:t>
      </w:r>
      <w:r w:rsidR="001E7943">
        <w:rPr>
          <w:lang w:val="en-GB"/>
        </w:rPr>
        <w:t xml:space="preserve"> not </w:t>
      </w:r>
      <w:r w:rsidR="00766B53">
        <w:rPr>
          <w:lang w:val="en-GB"/>
        </w:rPr>
        <w:t>hypothetical, it</w:t>
      </w:r>
      <w:r w:rsidR="004A0549">
        <w:rPr>
          <w:lang w:val="en-GB"/>
        </w:rPr>
        <w:t xml:space="preserve"> something that frequently </w:t>
      </w:r>
      <w:r w:rsidR="00766B53">
        <w:rPr>
          <w:lang w:val="en-GB"/>
        </w:rPr>
        <w:t xml:space="preserve">happens </w:t>
      </w:r>
      <w:r w:rsidR="0064470A">
        <w:rPr>
          <w:lang w:val="en-GB"/>
        </w:rPr>
        <w:t>to Pingelly students</w:t>
      </w:r>
      <w:r w:rsidR="00C74311">
        <w:rPr>
          <w:lang w:val="en-GB"/>
        </w:rPr>
        <w:t xml:space="preserve"> and is another example of injustice and inequity</w:t>
      </w:r>
      <w:r w:rsidR="00C34283">
        <w:rPr>
          <w:lang w:val="en-GB"/>
        </w:rPr>
        <w:t xml:space="preserve"> experienced by Pingelly and other rural, regional and remote students on a daily basis</w:t>
      </w:r>
      <w:r w:rsidR="0064470A">
        <w:rPr>
          <w:lang w:val="en-GB"/>
        </w:rPr>
        <w:t xml:space="preserve">. </w:t>
      </w:r>
      <w:r w:rsidR="00796EA8">
        <w:rPr>
          <w:lang w:val="en-GB"/>
        </w:rPr>
        <w:t>The fact that the ‘older kids’</w:t>
      </w:r>
      <w:r w:rsidR="008D7EB8">
        <w:rPr>
          <w:lang w:val="en-GB"/>
        </w:rPr>
        <w:t xml:space="preserve"> </w:t>
      </w:r>
      <w:r w:rsidR="0042757F">
        <w:rPr>
          <w:lang w:val="en-GB"/>
        </w:rPr>
        <w:t>in Years 11 and 12</w:t>
      </w:r>
      <w:r w:rsidR="00796EA8">
        <w:rPr>
          <w:lang w:val="en-GB"/>
        </w:rPr>
        <w:t xml:space="preserve"> and the ‘rich kids’ </w:t>
      </w:r>
      <w:r w:rsidR="0042757F">
        <w:rPr>
          <w:lang w:val="en-GB"/>
        </w:rPr>
        <w:t xml:space="preserve">attending the </w:t>
      </w:r>
      <w:r w:rsidR="0018489A">
        <w:rPr>
          <w:lang w:val="en-GB"/>
        </w:rPr>
        <w:t>fee-paying</w:t>
      </w:r>
      <w:r w:rsidR="0042757F">
        <w:rPr>
          <w:lang w:val="en-GB"/>
        </w:rPr>
        <w:t xml:space="preserve"> school (primary and secondary) </w:t>
      </w:r>
      <w:r w:rsidR="00F16B59">
        <w:rPr>
          <w:lang w:val="en-GB"/>
        </w:rPr>
        <w:t xml:space="preserve">have priority </w:t>
      </w:r>
      <w:r w:rsidR="006F4E28">
        <w:rPr>
          <w:lang w:val="en-GB"/>
        </w:rPr>
        <w:t xml:space="preserve">over the </w:t>
      </w:r>
      <w:r w:rsidR="008D7EB8">
        <w:rPr>
          <w:lang w:val="en-GB"/>
        </w:rPr>
        <w:t xml:space="preserve">students most in need of assistance is </w:t>
      </w:r>
      <w:r w:rsidR="004C4AD6">
        <w:rPr>
          <w:lang w:val="en-GB"/>
        </w:rPr>
        <w:t xml:space="preserve">highly concerning and target those families least </w:t>
      </w:r>
      <w:r w:rsidR="00F565E2">
        <w:rPr>
          <w:lang w:val="en-GB"/>
        </w:rPr>
        <w:t xml:space="preserve">able to pay to attend the fee-paying school. </w:t>
      </w:r>
    </w:p>
    <w:p w14:paraId="73AB7DD0" w14:textId="77777777" w:rsidR="00F61A50" w:rsidRDefault="00F61A50" w:rsidP="008576CA">
      <w:pPr>
        <w:jc w:val="both"/>
        <w:rPr>
          <w:lang w:val="en-GB"/>
        </w:rPr>
      </w:pPr>
    </w:p>
    <w:p w14:paraId="794DF8A4" w14:textId="0DAF68BE" w:rsidR="0044393F" w:rsidRPr="004834E5" w:rsidRDefault="0044393F" w:rsidP="004834E5">
      <w:pPr>
        <w:spacing w:after="0"/>
        <w:jc w:val="both"/>
        <w:rPr>
          <w:b/>
          <w:bCs/>
          <w:lang w:val="en-GB"/>
        </w:rPr>
      </w:pPr>
      <w:r w:rsidRPr="004834E5">
        <w:rPr>
          <w:b/>
          <w:bCs/>
          <w:lang w:val="en-GB"/>
        </w:rPr>
        <w:t xml:space="preserve">Economic Development </w:t>
      </w:r>
    </w:p>
    <w:p w14:paraId="6453FC0B" w14:textId="6648B5CC" w:rsidR="00A50806" w:rsidRDefault="004834E5" w:rsidP="008576CA">
      <w:pPr>
        <w:jc w:val="both"/>
        <w:rPr>
          <w:lang w:val="en-GB"/>
        </w:rPr>
      </w:pPr>
      <w:r>
        <w:rPr>
          <w:lang w:val="en-GB"/>
        </w:rPr>
        <w:t xml:space="preserve">The above student outcomes and most particularly the inequity of the current Student Transport </w:t>
      </w:r>
      <w:r w:rsidR="001677B4">
        <w:rPr>
          <w:lang w:val="en-GB"/>
        </w:rPr>
        <w:t>Assistance</w:t>
      </w:r>
      <w:r w:rsidR="001677B4">
        <w:rPr>
          <w:lang w:val="en-GB"/>
        </w:rPr>
        <w:t xml:space="preserve"> </w:t>
      </w:r>
      <w:r>
        <w:rPr>
          <w:lang w:val="en-GB"/>
        </w:rPr>
        <w:t xml:space="preserve">Policy has a significant impact upon </w:t>
      </w:r>
      <w:r w:rsidR="00252D19">
        <w:rPr>
          <w:lang w:val="en-GB"/>
        </w:rPr>
        <w:t xml:space="preserve">the Shire of Pingelly’s economic growth and development. This policy </w:t>
      </w:r>
      <w:r w:rsidR="00302045">
        <w:rPr>
          <w:lang w:val="en-GB"/>
        </w:rPr>
        <w:t xml:space="preserve">encourages families </w:t>
      </w:r>
      <w:r w:rsidR="00F20495">
        <w:rPr>
          <w:lang w:val="en-GB"/>
        </w:rPr>
        <w:t>to leave from Pingelly before their children enter High School</w:t>
      </w:r>
      <w:r w:rsidR="00C70A4F">
        <w:rPr>
          <w:lang w:val="en-GB"/>
        </w:rPr>
        <w:t xml:space="preserve"> as shown on the below </w:t>
      </w:r>
      <w:r w:rsidR="00743CCB">
        <w:rPr>
          <w:lang w:val="en-GB"/>
        </w:rPr>
        <w:t xml:space="preserve">graph. </w:t>
      </w:r>
    </w:p>
    <w:p w14:paraId="3FBF03E1" w14:textId="1E049D7E" w:rsidR="0047612D" w:rsidRDefault="0047612D" w:rsidP="008576CA">
      <w:pPr>
        <w:jc w:val="both"/>
        <w:rPr>
          <w:lang w:val="en-GB"/>
        </w:rPr>
      </w:pPr>
    </w:p>
    <w:p w14:paraId="1EB4BA1E" w14:textId="149BDE88" w:rsidR="0047612D" w:rsidRDefault="00C257AF" w:rsidP="008576CA">
      <w:pPr>
        <w:jc w:val="both"/>
        <w:rPr>
          <w:lang w:val="en-GB"/>
        </w:rPr>
      </w:pPr>
      <w:r>
        <w:rPr>
          <w:noProof/>
        </w:rPr>
        <w:lastRenderedPageBreak/>
        <mc:AlternateContent>
          <mc:Choice Requires="wps">
            <w:drawing>
              <wp:anchor distT="0" distB="0" distL="114300" distR="114300" simplePos="0" relativeHeight="251663360" behindDoc="0" locked="0" layoutInCell="1" allowOverlap="1" wp14:anchorId="11F86E1A" wp14:editId="069C0BC8">
                <wp:simplePos x="0" y="0"/>
                <wp:positionH relativeFrom="column">
                  <wp:posOffset>1676400</wp:posOffset>
                </wp:positionH>
                <wp:positionV relativeFrom="paragraph">
                  <wp:posOffset>2606675</wp:posOffset>
                </wp:positionV>
                <wp:extent cx="70231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533400"/>
                        </a:xfrm>
                        <a:prstGeom prst="rect">
                          <a:avLst/>
                        </a:prstGeom>
                        <a:noFill/>
                        <a:ln w="9525">
                          <a:noFill/>
                          <a:miter lim="800000"/>
                          <a:headEnd/>
                          <a:tailEnd/>
                        </a:ln>
                      </wps:spPr>
                      <wps:txbx>
                        <w:txbxContent>
                          <w:p w14:paraId="3DD83999" w14:textId="03E76DA6" w:rsidR="00C257AF" w:rsidRDefault="00974096" w:rsidP="00C257AF">
                            <w:pPr>
                              <w:spacing w:line="256" w:lineRule="auto"/>
                              <w:jc w:val="center"/>
                              <w:rPr>
                                <w:rFonts w:ascii="Calibri" w:eastAsia="Calibri" w:hAnsi="Calibri"/>
                                <w:color w:val="000000"/>
                                <w:sz w:val="18"/>
                                <w:szCs w:val="18"/>
                              </w:rPr>
                            </w:pPr>
                            <w:r>
                              <w:rPr>
                                <w:rFonts w:ascii="Calibri" w:eastAsia="Calibri" w:hAnsi="Calibri"/>
                                <w:color w:val="000000"/>
                                <w:sz w:val="18"/>
                                <w:szCs w:val="18"/>
                              </w:rPr>
                              <w:t>Tertiary</w:t>
                            </w:r>
                            <w:r w:rsidR="00C257AF">
                              <w:rPr>
                                <w:rFonts w:ascii="Calibri" w:eastAsia="Calibri" w:hAnsi="Calibri"/>
                                <w:color w:val="000000"/>
                                <w:sz w:val="18"/>
                                <w:szCs w:val="18"/>
                              </w:rPr>
                              <w:t xml:space="preserve"> Students</w:t>
                            </w:r>
                          </w:p>
                        </w:txbxContent>
                      </wps:txbx>
                      <wps:bodyPr rot="0" vert="horz" wrap="square" lIns="91440" tIns="45720" rIns="91440" bIns="45720" anchor="t" anchorCtr="0">
                        <a:noAutofit/>
                      </wps:bodyPr>
                    </wps:wsp>
                  </a:graphicData>
                </a:graphic>
              </wp:anchor>
            </w:drawing>
          </mc:Choice>
          <mc:Fallback>
            <w:pict>
              <v:shapetype w14:anchorId="11F86E1A" id="_x0000_t202" coordsize="21600,21600" o:spt="202" path="m,l,21600r21600,l21600,xe">
                <v:stroke joinstyle="miter"/>
                <v:path gradientshapeok="t" o:connecttype="rect"/>
              </v:shapetype>
              <v:shape id="Text Box 2" o:spid="_x0000_s1026" type="#_x0000_t202" style="position:absolute;left:0;text-align:left;margin-left:132pt;margin-top:205.25pt;width:55.3pt;height: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" filled="f" stroked="f">
                <v:textbox>
                  <w:txbxContent>
                    <w:p w14:paraId="3DD83999" w14:textId="03E76DA6" w:rsidR="00C257AF" w:rsidRDefault="00974096" w:rsidP="00C257AF">
                      <w:pPr>
                        <w:spacing w:line="256" w:lineRule="auto"/>
                        <w:jc w:val="center"/>
                        <w:rPr>
                          <w:rFonts w:ascii="Calibri" w:eastAsia="Calibri" w:hAnsi="Calibri"/>
                          <w:color w:val="000000"/>
                          <w:sz w:val="18"/>
                          <w:szCs w:val="18"/>
                        </w:rPr>
                      </w:pPr>
                      <w:r>
                        <w:rPr>
                          <w:rFonts w:ascii="Calibri" w:eastAsia="Calibri" w:hAnsi="Calibri"/>
                          <w:color w:val="000000"/>
                          <w:sz w:val="18"/>
                          <w:szCs w:val="18"/>
                        </w:rPr>
                        <w:t>Tertiary</w:t>
                      </w:r>
                      <w:r w:rsidR="00C257AF">
                        <w:rPr>
                          <w:rFonts w:ascii="Calibri" w:eastAsia="Calibri" w:hAnsi="Calibri"/>
                          <w:color w:val="000000"/>
                          <w:sz w:val="18"/>
                          <w:szCs w:val="18"/>
                        </w:rPr>
                        <w:t xml:space="preserve"> Students</w:t>
                      </w:r>
                    </w:p>
                  </w:txbxContent>
                </v:textbox>
              </v:shape>
            </w:pict>
          </mc:Fallback>
        </mc:AlternateContent>
      </w:r>
      <w:r w:rsidR="00946E07" w:rsidRPr="00946E07">
        <w:rPr>
          <w:noProof/>
          <w:lang w:val="en-GB"/>
        </w:rPr>
        <mc:AlternateContent>
          <mc:Choice Requires="wps">
            <w:drawing>
              <wp:anchor distT="45720" distB="45720" distL="114300" distR="114300" simplePos="0" relativeHeight="251661312" behindDoc="0" locked="0" layoutInCell="1" allowOverlap="1" wp14:anchorId="744CADAD" wp14:editId="224F1606">
                <wp:simplePos x="0" y="0"/>
                <wp:positionH relativeFrom="margin">
                  <wp:posOffset>590550</wp:posOffset>
                </wp:positionH>
                <wp:positionV relativeFrom="paragraph">
                  <wp:posOffset>2602230</wp:posOffset>
                </wp:positionV>
                <wp:extent cx="657225" cy="5334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33400"/>
                        </a:xfrm>
                        <a:prstGeom prst="rect">
                          <a:avLst/>
                        </a:prstGeom>
                        <a:solidFill>
                          <a:srgbClr val="FFFFFF"/>
                        </a:solidFill>
                        <a:ln w="9525">
                          <a:noFill/>
                          <a:miter lim="800000"/>
                          <a:headEnd/>
                          <a:tailEnd/>
                        </a:ln>
                      </wps:spPr>
                      <wps:txbx>
                        <w:txbxContent>
                          <w:p w14:paraId="75A38230" w14:textId="47E228D5" w:rsidR="00946E07" w:rsidRPr="004907EF" w:rsidRDefault="00807512" w:rsidP="00176DDA">
                            <w:pPr>
                              <w:jc w:val="center"/>
                              <w:rPr>
                                <w:sz w:val="18"/>
                                <w:szCs w:val="18"/>
                                <w14:textOutline w14:w="9525" w14:cap="rnd" w14:cmpd="sng" w14:algn="ctr">
                                  <w14:noFill/>
                                  <w14:prstDash w14:val="solid"/>
                                  <w14:bevel/>
                                </w14:textOutline>
                              </w:rPr>
                            </w:pPr>
                            <w:r w:rsidRPr="004907EF">
                              <w:rPr>
                                <w:sz w:val="18"/>
                                <w:szCs w:val="18"/>
                                <w14:textOutline w14:w="9525" w14:cap="rnd" w14:cmpd="sng" w14:algn="ctr">
                                  <w14:noFill/>
                                  <w14:prstDash w14:val="solid"/>
                                  <w14:bevel/>
                                </w14:textOutline>
                              </w:rPr>
                              <w:t xml:space="preserve">Primary </w:t>
                            </w:r>
                            <w:r w:rsidR="009F2C57" w:rsidRPr="004907EF">
                              <w:rPr>
                                <w:sz w:val="18"/>
                                <w:szCs w:val="18"/>
                                <w14:textOutline w14:w="9525" w14:cap="rnd" w14:cmpd="sng" w14:algn="ctr">
                                  <w14:noFill/>
                                  <w14:prstDash w14:val="solid"/>
                                  <w14:bevel/>
                                </w14:textOutline>
                              </w:rPr>
                              <w:t xml:space="preserve">School </w:t>
                            </w:r>
                            <w:r w:rsidR="00BD7605" w:rsidRPr="004907EF">
                              <w:rPr>
                                <w:sz w:val="18"/>
                                <w:szCs w:val="18"/>
                                <w14:textOutline w14:w="9525" w14:cap="rnd" w14:cmpd="sng" w14:algn="ctr">
                                  <w14:noFill/>
                                  <w14:prstDash w14:val="solid"/>
                                  <w14:bevel/>
                                </w14:textOutline>
                              </w:rPr>
                              <w:t>S</w:t>
                            </w:r>
                            <w:r w:rsidRPr="004907EF">
                              <w:rPr>
                                <w:sz w:val="18"/>
                                <w:szCs w:val="18"/>
                                <w14:textOutline w14:w="9525" w14:cap="rnd" w14:cmpd="sng" w14:algn="ctr">
                                  <w14:noFill/>
                                  <w14:prstDash w14:val="solid"/>
                                  <w14:bevel/>
                                </w14:textOutline>
                              </w:rPr>
                              <w:t>tudent</w:t>
                            </w:r>
                            <w:r w:rsidR="00BD7605" w:rsidRPr="004907EF">
                              <w:rPr>
                                <w:sz w:val="18"/>
                                <w:szCs w:val="18"/>
                                <w14:textOutline w14:w="9525" w14:cap="rnd" w14:cmpd="sng" w14:algn="ctr">
                                  <w14:noFill/>
                                  <w14:prstDash w14:val="solid"/>
                                  <w14:bevel/>
                                </w14:textOutline>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CADAD" id="_x0000_s1027" type="#_x0000_t202" style="position:absolute;left:0;text-align:left;margin-left:46.5pt;margin-top:204.9pt;width:51.75pt;height: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" stroked="f">
                <v:textbox>
                  <w:txbxContent>
                    <w:p w14:paraId="75A38230" w14:textId="47E228D5" w:rsidR="00946E07" w:rsidRPr="004907EF" w:rsidRDefault="00807512" w:rsidP="00176DDA">
                      <w:pPr>
                        <w:jc w:val="center"/>
                        <w:rPr>
                          <w:sz w:val="18"/>
                          <w:szCs w:val="18"/>
                          <w14:textOutline w14:w="9525" w14:cap="rnd" w14:cmpd="sng" w14:algn="ctr">
                            <w14:noFill/>
                            <w14:prstDash w14:val="solid"/>
                            <w14:bevel/>
                          </w14:textOutline>
                        </w:rPr>
                      </w:pPr>
                      <w:r w:rsidRPr="004907EF">
                        <w:rPr>
                          <w:sz w:val="18"/>
                          <w:szCs w:val="18"/>
                          <w14:textOutline w14:w="9525" w14:cap="rnd" w14:cmpd="sng" w14:algn="ctr">
                            <w14:noFill/>
                            <w14:prstDash w14:val="solid"/>
                            <w14:bevel/>
                          </w14:textOutline>
                        </w:rPr>
                        <w:t xml:space="preserve">Primary </w:t>
                      </w:r>
                      <w:r w:rsidR="009F2C57" w:rsidRPr="004907EF">
                        <w:rPr>
                          <w:sz w:val="18"/>
                          <w:szCs w:val="18"/>
                          <w14:textOutline w14:w="9525" w14:cap="rnd" w14:cmpd="sng" w14:algn="ctr">
                            <w14:noFill/>
                            <w14:prstDash w14:val="solid"/>
                            <w14:bevel/>
                          </w14:textOutline>
                        </w:rPr>
                        <w:t xml:space="preserve">School </w:t>
                      </w:r>
                      <w:r w:rsidR="00BD7605" w:rsidRPr="004907EF">
                        <w:rPr>
                          <w:sz w:val="18"/>
                          <w:szCs w:val="18"/>
                          <w14:textOutline w14:w="9525" w14:cap="rnd" w14:cmpd="sng" w14:algn="ctr">
                            <w14:noFill/>
                            <w14:prstDash w14:val="solid"/>
                            <w14:bevel/>
                          </w14:textOutline>
                        </w:rPr>
                        <w:t>S</w:t>
                      </w:r>
                      <w:r w:rsidRPr="004907EF">
                        <w:rPr>
                          <w:sz w:val="18"/>
                          <w:szCs w:val="18"/>
                          <w14:textOutline w14:w="9525" w14:cap="rnd" w14:cmpd="sng" w14:algn="ctr">
                            <w14:noFill/>
                            <w14:prstDash w14:val="solid"/>
                            <w14:bevel/>
                          </w14:textOutline>
                        </w:rPr>
                        <w:t>tudent</w:t>
                      </w:r>
                      <w:r w:rsidR="00BD7605" w:rsidRPr="004907EF">
                        <w:rPr>
                          <w:sz w:val="18"/>
                          <w:szCs w:val="18"/>
                          <w14:textOutline w14:w="9525" w14:cap="rnd" w14:cmpd="sng" w14:algn="ctr">
                            <w14:noFill/>
                            <w14:prstDash w14:val="solid"/>
                            <w14:bevel/>
                          </w14:textOutline>
                        </w:rPr>
                        <w:t>s</w:t>
                      </w:r>
                    </w:p>
                  </w:txbxContent>
                </v:textbox>
                <w10:wrap anchorx="margin"/>
              </v:shape>
            </w:pict>
          </mc:Fallback>
        </mc:AlternateContent>
      </w:r>
      <w:r w:rsidR="00820057">
        <w:rPr>
          <w:noProof/>
          <w:lang w:val="en-GB"/>
        </w:rPr>
        <w:drawing>
          <wp:inline distT="0" distB="0" distL="0" distR="0" wp14:anchorId="77C1FF6A" wp14:editId="7B3B4325">
            <wp:extent cx="5657850" cy="3124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23D67B" w14:textId="6D02B6D6" w:rsidR="0001663D" w:rsidRDefault="005874F2" w:rsidP="008576CA">
      <w:pPr>
        <w:jc w:val="both"/>
        <w:rPr>
          <w:lang w:val="en-GB"/>
        </w:rPr>
      </w:pPr>
      <w:r>
        <w:rPr>
          <w:lang w:val="en-GB"/>
        </w:rPr>
        <w:t xml:space="preserve">Pingelly has similar percentages </w:t>
      </w:r>
      <w:r w:rsidR="00846E8B">
        <w:rPr>
          <w:lang w:val="en-GB"/>
        </w:rPr>
        <w:t xml:space="preserve">of primary school age children when compared to </w:t>
      </w:r>
      <w:r w:rsidR="007845B7">
        <w:rPr>
          <w:lang w:val="en-GB"/>
        </w:rPr>
        <w:t xml:space="preserve">Western Australia and Australia, however this dips dramatically </w:t>
      </w:r>
      <w:r w:rsidR="00082FBE">
        <w:rPr>
          <w:lang w:val="en-GB"/>
        </w:rPr>
        <w:t>at high school age</w:t>
      </w:r>
      <w:r w:rsidR="00830403">
        <w:rPr>
          <w:lang w:val="en-GB"/>
        </w:rPr>
        <w:t>, includ</w:t>
      </w:r>
      <w:r w:rsidR="00032E3A">
        <w:rPr>
          <w:lang w:val="en-GB"/>
        </w:rPr>
        <w:t>ing</w:t>
      </w:r>
      <w:r w:rsidR="00830403">
        <w:rPr>
          <w:lang w:val="en-GB"/>
        </w:rPr>
        <w:t xml:space="preserve"> the parents of those students at </w:t>
      </w:r>
      <w:r w:rsidR="005747EC">
        <w:rPr>
          <w:lang w:val="en-GB"/>
        </w:rPr>
        <w:t xml:space="preserve">the </w:t>
      </w:r>
      <w:r w:rsidR="00830403">
        <w:rPr>
          <w:lang w:val="en-GB"/>
        </w:rPr>
        <w:t>30</w:t>
      </w:r>
      <w:r w:rsidR="005747EC">
        <w:rPr>
          <w:lang w:val="en-GB"/>
        </w:rPr>
        <w:t>-</w:t>
      </w:r>
      <w:r w:rsidR="0099120A">
        <w:rPr>
          <w:lang w:val="en-GB"/>
        </w:rPr>
        <w:t>44</w:t>
      </w:r>
      <w:r w:rsidR="005747EC">
        <w:rPr>
          <w:lang w:val="en-GB"/>
        </w:rPr>
        <w:t xml:space="preserve"> age</w:t>
      </w:r>
      <w:r w:rsidR="0099120A">
        <w:rPr>
          <w:lang w:val="en-GB"/>
        </w:rPr>
        <w:t xml:space="preserve"> range</w:t>
      </w:r>
      <w:r w:rsidR="00082FBE">
        <w:rPr>
          <w:lang w:val="en-GB"/>
        </w:rPr>
        <w:t xml:space="preserve"> and does not recover until the 50-54 age bracket </w:t>
      </w:r>
      <w:r w:rsidR="00587AB8">
        <w:rPr>
          <w:lang w:val="en-GB"/>
        </w:rPr>
        <w:t xml:space="preserve">at which stage </w:t>
      </w:r>
      <w:r w:rsidR="005D2978">
        <w:rPr>
          <w:lang w:val="en-GB"/>
        </w:rPr>
        <w:t xml:space="preserve">the percentage </w:t>
      </w:r>
      <w:r w:rsidR="004D6C70">
        <w:rPr>
          <w:lang w:val="en-GB"/>
        </w:rPr>
        <w:t xml:space="preserve">of population these in older </w:t>
      </w:r>
      <w:r w:rsidR="0022783E">
        <w:rPr>
          <w:lang w:val="en-GB"/>
        </w:rPr>
        <w:t>categories</w:t>
      </w:r>
      <w:r w:rsidR="004D6C70">
        <w:rPr>
          <w:lang w:val="en-GB"/>
        </w:rPr>
        <w:t xml:space="preserve"> </w:t>
      </w:r>
      <w:r w:rsidR="0022783E">
        <w:rPr>
          <w:lang w:val="en-GB"/>
        </w:rPr>
        <w:t>is driven upwards as the percentage</w:t>
      </w:r>
      <w:r w:rsidR="002E67CE">
        <w:rPr>
          <w:lang w:val="en-GB"/>
        </w:rPr>
        <w:t xml:space="preserve"> population</w:t>
      </w:r>
      <w:r w:rsidR="0022783E">
        <w:rPr>
          <w:lang w:val="en-GB"/>
        </w:rPr>
        <w:t xml:space="preserve"> in the younger categories are driven downwards. </w:t>
      </w:r>
      <w:r w:rsidR="00E82C60">
        <w:rPr>
          <w:lang w:val="en-GB"/>
        </w:rPr>
        <w:t>In contract,</w:t>
      </w:r>
      <w:r w:rsidR="0056337F">
        <w:rPr>
          <w:lang w:val="en-GB"/>
        </w:rPr>
        <w:t xml:space="preserve"> the nearby town of Narrogin </w:t>
      </w:r>
      <w:r w:rsidR="00E82C60">
        <w:rPr>
          <w:lang w:val="en-GB"/>
        </w:rPr>
        <w:t>(</w:t>
      </w:r>
      <w:r w:rsidR="0056337F">
        <w:rPr>
          <w:lang w:val="en-GB"/>
        </w:rPr>
        <w:t xml:space="preserve">which has </w:t>
      </w:r>
      <w:r w:rsidR="003A2A52">
        <w:rPr>
          <w:lang w:val="en-GB"/>
        </w:rPr>
        <w:t xml:space="preserve">suitable access to </w:t>
      </w:r>
      <w:r w:rsidR="0056337F">
        <w:rPr>
          <w:lang w:val="en-GB"/>
        </w:rPr>
        <w:t>secondary school</w:t>
      </w:r>
      <w:r w:rsidR="003A2A52">
        <w:rPr>
          <w:lang w:val="en-GB"/>
        </w:rPr>
        <w:t>s</w:t>
      </w:r>
      <w:r w:rsidR="00E82C60">
        <w:rPr>
          <w:lang w:val="en-GB"/>
        </w:rPr>
        <w:t>)</w:t>
      </w:r>
      <w:r w:rsidR="0056337F">
        <w:rPr>
          <w:lang w:val="en-GB"/>
        </w:rPr>
        <w:t xml:space="preserve"> </w:t>
      </w:r>
      <w:r w:rsidR="009234E0">
        <w:rPr>
          <w:lang w:val="en-GB"/>
        </w:rPr>
        <w:t>retains its population during high school age</w:t>
      </w:r>
      <w:r w:rsidR="002B6CF7">
        <w:rPr>
          <w:lang w:val="en-GB"/>
        </w:rPr>
        <w:t xml:space="preserve"> and</w:t>
      </w:r>
      <w:r w:rsidR="002B6CF7" w:rsidRPr="002B6CF7">
        <w:rPr>
          <w:lang w:val="en-GB"/>
        </w:rPr>
        <w:t xml:space="preserve"> </w:t>
      </w:r>
      <w:r w:rsidR="00721562">
        <w:rPr>
          <w:lang w:val="en-GB"/>
        </w:rPr>
        <w:t>experiences</w:t>
      </w:r>
      <w:r w:rsidR="002B6CF7">
        <w:rPr>
          <w:lang w:val="en-GB"/>
        </w:rPr>
        <w:t xml:space="preserve"> a small dip </w:t>
      </w:r>
      <w:r w:rsidR="00721562">
        <w:rPr>
          <w:lang w:val="en-GB"/>
        </w:rPr>
        <w:t>as the</w:t>
      </w:r>
      <w:r w:rsidR="002B6CF7">
        <w:rPr>
          <w:lang w:val="en-GB"/>
        </w:rPr>
        <w:t xml:space="preserve"> population </w:t>
      </w:r>
      <w:r w:rsidR="00721562">
        <w:rPr>
          <w:lang w:val="en-GB"/>
        </w:rPr>
        <w:t>enters the</w:t>
      </w:r>
      <w:r w:rsidR="00974096">
        <w:rPr>
          <w:lang w:val="en-GB"/>
        </w:rPr>
        <w:t xml:space="preserve"> Tertiary</w:t>
      </w:r>
      <w:r w:rsidR="00721562">
        <w:rPr>
          <w:lang w:val="en-GB"/>
        </w:rPr>
        <w:t xml:space="preserve"> Education</w:t>
      </w:r>
      <w:r w:rsidR="00974096">
        <w:rPr>
          <w:lang w:val="en-GB"/>
        </w:rPr>
        <w:t xml:space="preserve"> age. </w:t>
      </w:r>
      <w:r w:rsidR="00721562">
        <w:rPr>
          <w:lang w:val="en-GB"/>
        </w:rPr>
        <w:t xml:space="preserve">Overall, </w:t>
      </w:r>
      <w:r w:rsidR="00AD451B">
        <w:rPr>
          <w:lang w:val="en-GB"/>
        </w:rPr>
        <w:t xml:space="preserve">Narrogin’s population decreases less then Pingelly’s </w:t>
      </w:r>
      <w:r w:rsidR="009369D7">
        <w:rPr>
          <w:lang w:val="en-GB"/>
        </w:rPr>
        <w:t>population</w:t>
      </w:r>
      <w:r w:rsidR="00B33506">
        <w:rPr>
          <w:lang w:val="en-GB"/>
        </w:rPr>
        <w:t>.</w:t>
      </w:r>
      <w:r w:rsidR="00721562">
        <w:rPr>
          <w:lang w:val="en-GB"/>
        </w:rPr>
        <w:t xml:space="preserve"> </w:t>
      </w:r>
      <w:r w:rsidR="00B93DF8">
        <w:rPr>
          <w:lang w:val="en-GB"/>
        </w:rPr>
        <w:t xml:space="preserve">This demonstrates that </w:t>
      </w:r>
      <w:r w:rsidR="00C65570">
        <w:rPr>
          <w:lang w:val="en-GB"/>
        </w:rPr>
        <w:t xml:space="preserve">the lack of </w:t>
      </w:r>
      <w:r w:rsidR="00B93DF8">
        <w:rPr>
          <w:lang w:val="en-GB"/>
        </w:rPr>
        <w:t xml:space="preserve">suitable access to high school </w:t>
      </w:r>
      <w:r w:rsidR="00C023C0">
        <w:rPr>
          <w:lang w:val="en-GB"/>
        </w:rPr>
        <w:t>education is a major contribut</w:t>
      </w:r>
      <w:r w:rsidR="007513DA">
        <w:rPr>
          <w:lang w:val="en-GB"/>
        </w:rPr>
        <w:t xml:space="preserve">ing factor in </w:t>
      </w:r>
      <w:r w:rsidR="001A5CED">
        <w:rPr>
          <w:lang w:val="en-GB"/>
        </w:rPr>
        <w:t>families leaving Pingelly</w:t>
      </w:r>
      <w:r w:rsidR="00C65570">
        <w:rPr>
          <w:lang w:val="en-GB"/>
        </w:rPr>
        <w:t xml:space="preserve">. </w:t>
      </w:r>
      <w:r w:rsidR="00C023C0">
        <w:rPr>
          <w:lang w:val="en-GB"/>
        </w:rPr>
        <w:t xml:space="preserve"> </w:t>
      </w:r>
    </w:p>
    <w:p w14:paraId="56C05653" w14:textId="1559C84F" w:rsidR="0047612D" w:rsidRDefault="00975103" w:rsidP="008576CA">
      <w:pPr>
        <w:jc w:val="both"/>
        <w:rPr>
          <w:lang w:val="en-GB"/>
        </w:rPr>
      </w:pPr>
      <w:r>
        <w:rPr>
          <w:lang w:val="en-GB"/>
        </w:rPr>
        <w:t xml:space="preserve">This analysis is </w:t>
      </w:r>
      <w:r w:rsidR="00A05B38">
        <w:rPr>
          <w:lang w:val="en-GB"/>
        </w:rPr>
        <w:t xml:space="preserve">reinforced by the </w:t>
      </w:r>
      <w:r w:rsidR="00FB2399">
        <w:rPr>
          <w:lang w:val="en-GB"/>
        </w:rPr>
        <w:t>consultation</w:t>
      </w:r>
      <w:r w:rsidR="00A05B38">
        <w:rPr>
          <w:lang w:val="en-GB"/>
        </w:rPr>
        <w:t xml:space="preserve"> with young people in the Pingelly Community carried out as part of the Shire of </w:t>
      </w:r>
      <w:r w:rsidR="00FB2399">
        <w:rPr>
          <w:lang w:val="en-GB"/>
        </w:rPr>
        <w:t>Pingelly</w:t>
      </w:r>
      <w:r w:rsidR="00A05B38">
        <w:rPr>
          <w:lang w:val="en-GB"/>
        </w:rPr>
        <w:t xml:space="preserve"> Youth Strategy 2021-20</w:t>
      </w:r>
      <w:r w:rsidR="00FB2399">
        <w:rPr>
          <w:lang w:val="en-GB"/>
        </w:rPr>
        <w:t xml:space="preserve">25. Young people </w:t>
      </w:r>
      <w:r w:rsidR="00C06692">
        <w:rPr>
          <w:lang w:val="en-GB"/>
        </w:rPr>
        <w:t>articulated</w:t>
      </w:r>
      <w:r w:rsidR="00E844CE">
        <w:rPr>
          <w:lang w:val="en-GB"/>
        </w:rPr>
        <w:t xml:space="preserve"> the</w:t>
      </w:r>
      <w:r w:rsidR="00FB2399">
        <w:rPr>
          <w:lang w:val="en-GB"/>
        </w:rPr>
        <w:t xml:space="preserve"> below key concerns about their future</w:t>
      </w:r>
      <w:r w:rsidR="00E844CE">
        <w:rPr>
          <w:lang w:val="en-GB"/>
        </w:rPr>
        <w:t>.</w:t>
      </w:r>
      <w:r w:rsidR="00FB2399">
        <w:rPr>
          <w:lang w:val="en-GB"/>
        </w:rPr>
        <w:t xml:space="preserve"> </w:t>
      </w:r>
    </w:p>
    <w:p w14:paraId="30664728" w14:textId="77777777" w:rsidR="00170FCE" w:rsidRDefault="00170FCE" w:rsidP="008576CA">
      <w:pPr>
        <w:jc w:val="both"/>
        <w:rPr>
          <w:lang w:val="en-GB"/>
        </w:rPr>
      </w:pPr>
    </w:p>
    <w:p w14:paraId="517C9F34" w14:textId="5A3671E1" w:rsidR="00060979" w:rsidRPr="0054057E" w:rsidRDefault="0084318F" w:rsidP="0054057E">
      <w:pPr>
        <w:spacing w:after="0"/>
        <w:ind w:left="720" w:right="379"/>
        <w:jc w:val="both"/>
        <w:rPr>
          <w:rFonts w:cstheme="minorHAnsi"/>
          <w:b/>
          <w:bCs/>
          <w:i/>
          <w:iCs/>
          <w:lang w:val="en-GB"/>
        </w:rPr>
      </w:pPr>
      <w:r>
        <w:rPr>
          <w:rFonts w:cstheme="minorHAnsi"/>
          <w:b/>
          <w:bCs/>
          <w:i/>
          <w:iCs/>
          <w:lang w:val="en-GB"/>
        </w:rPr>
        <w:t xml:space="preserve">Pingelly Youth </w:t>
      </w:r>
      <w:r w:rsidR="00402352">
        <w:rPr>
          <w:rFonts w:cstheme="minorHAnsi"/>
          <w:b/>
          <w:bCs/>
          <w:i/>
          <w:iCs/>
          <w:lang w:val="en-GB"/>
        </w:rPr>
        <w:t xml:space="preserve">Consultation </w:t>
      </w:r>
    </w:p>
    <w:p w14:paraId="3989EFE5" w14:textId="002E1205" w:rsidR="0047612D" w:rsidRDefault="00E739A2" w:rsidP="00642524">
      <w:pPr>
        <w:spacing w:after="0"/>
        <w:ind w:left="720" w:right="804"/>
        <w:jc w:val="both"/>
        <w:rPr>
          <w:rFonts w:cstheme="minorHAnsi"/>
          <w:i/>
          <w:iCs/>
          <w:lang w:val="en-GB"/>
        </w:rPr>
      </w:pPr>
      <w:r w:rsidRPr="0054057E">
        <w:rPr>
          <w:rFonts w:cstheme="minorHAnsi"/>
          <w:i/>
          <w:iCs/>
          <w:lang w:val="en-GB"/>
        </w:rPr>
        <w:t>Many young people are not able to access education</w:t>
      </w:r>
      <w:r w:rsidR="00975103" w:rsidRPr="0054057E">
        <w:rPr>
          <w:rFonts w:cstheme="minorHAnsi"/>
          <w:i/>
          <w:iCs/>
          <w:lang w:val="en-GB"/>
        </w:rPr>
        <w:t>…</w:t>
      </w:r>
      <w:r w:rsidRPr="0054057E">
        <w:rPr>
          <w:rFonts w:cstheme="minorHAnsi"/>
          <w:i/>
          <w:iCs/>
          <w:lang w:val="en-GB"/>
        </w:rPr>
        <w:t xml:space="preserve"> opportunities close to home and need to leave the region to pursue them. There is a notable decrease in young people’s confidence when comparing their desire to remain in Pingelly and the practicality of doing so.</w:t>
      </w:r>
    </w:p>
    <w:p w14:paraId="02760889" w14:textId="77777777" w:rsidR="00642524" w:rsidRPr="00BE0678" w:rsidRDefault="00642524" w:rsidP="00642524">
      <w:pPr>
        <w:spacing w:after="0"/>
        <w:ind w:left="720" w:right="804"/>
        <w:jc w:val="both"/>
        <w:rPr>
          <w:rFonts w:cstheme="minorHAnsi"/>
          <w:i/>
          <w:iCs/>
          <w:sz w:val="12"/>
          <w:szCs w:val="12"/>
          <w:lang w:val="en-GB"/>
        </w:rPr>
      </w:pPr>
    </w:p>
    <w:p w14:paraId="276CA6EA" w14:textId="5329B829" w:rsidR="00E739A2" w:rsidRDefault="00675FAD" w:rsidP="00642524">
      <w:pPr>
        <w:spacing w:after="0"/>
        <w:ind w:left="720" w:right="804"/>
        <w:jc w:val="both"/>
        <w:rPr>
          <w:rFonts w:cstheme="minorHAnsi"/>
          <w:i/>
          <w:iCs/>
          <w:lang w:val="en-GB"/>
        </w:rPr>
      </w:pPr>
      <w:r w:rsidRPr="0054057E">
        <w:rPr>
          <w:rFonts w:cstheme="minorHAnsi"/>
          <w:i/>
          <w:iCs/>
          <w:lang w:val="en-GB"/>
        </w:rPr>
        <w:t>A key concern for young people is remaining connected to Pingelly and maintaining friendships while completing high school in neighbouring communities.</w:t>
      </w:r>
    </w:p>
    <w:p w14:paraId="028ACD39" w14:textId="209A0124" w:rsidR="0084318F" w:rsidRPr="0054057E" w:rsidRDefault="00642524" w:rsidP="00642524">
      <w:pPr>
        <w:ind w:left="720" w:right="804"/>
        <w:jc w:val="right"/>
        <w:rPr>
          <w:rFonts w:cstheme="minorHAnsi"/>
          <w:i/>
          <w:iCs/>
          <w:lang w:val="en-GB"/>
        </w:rPr>
      </w:pPr>
      <w:r>
        <w:rPr>
          <w:lang w:val="en-GB"/>
        </w:rPr>
        <w:t>(</w:t>
      </w:r>
      <w:r w:rsidR="0084318F">
        <w:rPr>
          <w:lang w:val="en-GB"/>
        </w:rPr>
        <w:t>Shire of Pingelly Youth Strategy 2021-2025</w:t>
      </w:r>
      <w:r w:rsidR="00402352">
        <w:rPr>
          <w:lang w:val="en-GB"/>
        </w:rPr>
        <w:t xml:space="preserve"> – Future Aspirations, page </w:t>
      </w:r>
      <w:r>
        <w:rPr>
          <w:lang w:val="en-GB"/>
        </w:rPr>
        <w:t>14)</w:t>
      </w:r>
    </w:p>
    <w:p w14:paraId="36B3FC98" w14:textId="77777777" w:rsidR="00170FCE" w:rsidRDefault="00170FCE" w:rsidP="008576CA">
      <w:pPr>
        <w:jc w:val="both"/>
        <w:rPr>
          <w:lang w:val="en-GB"/>
        </w:rPr>
      </w:pPr>
    </w:p>
    <w:p w14:paraId="1AE908A1" w14:textId="5EC495CF" w:rsidR="00E739A2" w:rsidRDefault="00FD4178" w:rsidP="008576CA">
      <w:pPr>
        <w:jc w:val="both"/>
        <w:rPr>
          <w:lang w:val="en-GB"/>
        </w:rPr>
      </w:pPr>
      <w:r>
        <w:rPr>
          <w:lang w:val="en-GB"/>
        </w:rPr>
        <w:t xml:space="preserve">The economic ramifications of this </w:t>
      </w:r>
      <w:r w:rsidR="00B316D0">
        <w:rPr>
          <w:lang w:val="en-GB"/>
        </w:rPr>
        <w:t xml:space="preserve">high </w:t>
      </w:r>
      <w:r w:rsidR="00B278A2">
        <w:rPr>
          <w:lang w:val="en-GB"/>
        </w:rPr>
        <w:t>school age flight</w:t>
      </w:r>
      <w:r w:rsidR="00531540">
        <w:rPr>
          <w:lang w:val="en-GB"/>
        </w:rPr>
        <w:t xml:space="preserve"> of both st</w:t>
      </w:r>
      <w:r w:rsidR="00B316D0">
        <w:rPr>
          <w:lang w:val="en-GB"/>
        </w:rPr>
        <w:t>udents and their parents</w:t>
      </w:r>
      <w:r w:rsidR="003C3470">
        <w:rPr>
          <w:lang w:val="en-GB"/>
        </w:rPr>
        <w:t xml:space="preserve"> from Pingelly</w:t>
      </w:r>
      <w:r w:rsidR="00B278A2">
        <w:rPr>
          <w:lang w:val="en-GB"/>
        </w:rPr>
        <w:t xml:space="preserve"> are glaring and significan</w:t>
      </w:r>
      <w:r w:rsidR="00511CDB">
        <w:rPr>
          <w:lang w:val="en-GB"/>
        </w:rPr>
        <w:t>t</w:t>
      </w:r>
      <w:r w:rsidR="00186DCA">
        <w:rPr>
          <w:lang w:val="en-GB"/>
        </w:rPr>
        <w:t xml:space="preserve">, particularly as Pingelly is </w:t>
      </w:r>
      <w:r w:rsidR="005416F2">
        <w:rPr>
          <w:lang w:val="en-GB"/>
        </w:rPr>
        <w:t>experiencing</w:t>
      </w:r>
      <w:r w:rsidR="00186DCA">
        <w:rPr>
          <w:lang w:val="en-GB"/>
        </w:rPr>
        <w:t xml:space="preserve"> a shortage of worke</w:t>
      </w:r>
      <w:r w:rsidR="005416F2">
        <w:rPr>
          <w:lang w:val="en-GB"/>
        </w:rPr>
        <w:t xml:space="preserve">rs. </w:t>
      </w:r>
    </w:p>
    <w:p w14:paraId="20A4873B" w14:textId="18B1112D" w:rsidR="005416F2" w:rsidRDefault="005416F2" w:rsidP="008576CA">
      <w:pPr>
        <w:jc w:val="both"/>
        <w:rPr>
          <w:lang w:val="en-GB"/>
        </w:rPr>
      </w:pPr>
      <w:r>
        <w:rPr>
          <w:lang w:val="en-GB"/>
        </w:rPr>
        <w:lastRenderedPageBreak/>
        <w:t xml:space="preserve">In addition to the flight of existing residents, </w:t>
      </w:r>
      <w:r w:rsidR="009B238D">
        <w:rPr>
          <w:lang w:val="en-GB"/>
        </w:rPr>
        <w:t xml:space="preserve">the current Student Transport </w:t>
      </w:r>
      <w:r w:rsidR="00F55084">
        <w:rPr>
          <w:lang w:val="en-GB"/>
        </w:rPr>
        <w:t>Assistance</w:t>
      </w:r>
      <w:r w:rsidR="00F55084">
        <w:rPr>
          <w:lang w:val="en-GB"/>
        </w:rPr>
        <w:t xml:space="preserve"> </w:t>
      </w:r>
      <w:r w:rsidR="009B238D">
        <w:rPr>
          <w:lang w:val="en-GB"/>
        </w:rPr>
        <w:t>Policy deters families from moving to Pingelly</w:t>
      </w:r>
      <w:r w:rsidR="00F454B2">
        <w:rPr>
          <w:lang w:val="en-GB"/>
        </w:rPr>
        <w:t xml:space="preserve">. </w:t>
      </w:r>
      <w:r w:rsidR="001C36A6">
        <w:rPr>
          <w:lang w:val="en-GB"/>
        </w:rPr>
        <w:t xml:space="preserve">One particular example is a recently appointed government official who preferred to commute to Pingelly from Perth rather than move their family to Pingelly because of the risk that their children would be left at the side of the road by the school bus. </w:t>
      </w:r>
      <w:r w:rsidR="00B005A4">
        <w:rPr>
          <w:lang w:val="en-GB"/>
        </w:rPr>
        <w:t xml:space="preserve">The Shire of Pingelly has noted </w:t>
      </w:r>
      <w:r w:rsidR="00680E07">
        <w:rPr>
          <w:lang w:val="en-GB"/>
        </w:rPr>
        <w:t>several</w:t>
      </w:r>
      <w:r w:rsidR="00B005A4">
        <w:rPr>
          <w:lang w:val="en-GB"/>
        </w:rPr>
        <w:t xml:space="preserve"> instances in which this </w:t>
      </w:r>
      <w:r w:rsidR="00633E4F">
        <w:rPr>
          <w:lang w:val="en-GB"/>
        </w:rPr>
        <w:t xml:space="preserve">policy has been </w:t>
      </w:r>
      <w:r w:rsidR="00264DE0">
        <w:rPr>
          <w:lang w:val="en-GB"/>
        </w:rPr>
        <w:t xml:space="preserve">directly responsible for families making the decision not to move to Pingelly. </w:t>
      </w:r>
      <w:r w:rsidR="00277174">
        <w:rPr>
          <w:lang w:val="en-GB"/>
        </w:rPr>
        <w:t>As the population of the Shire of Pingelly is 1</w:t>
      </w:r>
      <w:r w:rsidR="006F2E5F">
        <w:rPr>
          <w:lang w:val="en-GB"/>
        </w:rPr>
        <w:t>,146 people</w:t>
      </w:r>
      <w:r w:rsidR="00BA4653">
        <w:rPr>
          <w:lang w:val="en-GB"/>
        </w:rPr>
        <w:t xml:space="preserve"> (2016 Census)</w:t>
      </w:r>
      <w:r w:rsidR="006F2E5F">
        <w:rPr>
          <w:lang w:val="en-GB"/>
        </w:rPr>
        <w:t>, the impact of a number of family’s decision</w:t>
      </w:r>
      <w:r w:rsidR="00FF77C0">
        <w:rPr>
          <w:lang w:val="en-GB"/>
        </w:rPr>
        <w:t>s</w:t>
      </w:r>
      <w:r w:rsidR="006F2E5F">
        <w:rPr>
          <w:lang w:val="en-GB"/>
        </w:rPr>
        <w:t xml:space="preserve"> not to move </w:t>
      </w:r>
      <w:r w:rsidR="00F36DB5">
        <w:rPr>
          <w:lang w:val="en-GB"/>
        </w:rPr>
        <w:t>to Pingelly has an outsized impact.</w:t>
      </w:r>
      <w:r w:rsidR="00277174">
        <w:rPr>
          <w:lang w:val="en-GB"/>
        </w:rPr>
        <w:t xml:space="preserve"> </w:t>
      </w:r>
      <w:r w:rsidR="00CB7E24">
        <w:rPr>
          <w:lang w:val="en-GB"/>
        </w:rPr>
        <w:t>This</w:t>
      </w:r>
      <w:r w:rsidR="00F36DB5">
        <w:rPr>
          <w:lang w:val="en-GB"/>
        </w:rPr>
        <w:t xml:space="preserve"> is the </w:t>
      </w:r>
      <w:r w:rsidR="00A453CA">
        <w:rPr>
          <w:lang w:val="en-GB"/>
        </w:rPr>
        <w:t>difference</w:t>
      </w:r>
      <w:r w:rsidR="00F36DB5">
        <w:rPr>
          <w:lang w:val="en-GB"/>
        </w:rPr>
        <w:t xml:space="preserve"> between the current </w:t>
      </w:r>
      <w:r w:rsidR="00CB7E24">
        <w:rPr>
          <w:lang w:val="en-GB"/>
        </w:rPr>
        <w:t>stagnating population</w:t>
      </w:r>
      <w:r w:rsidR="00CF6C29">
        <w:rPr>
          <w:lang w:val="en-GB"/>
        </w:rPr>
        <w:t xml:space="preserve"> </w:t>
      </w:r>
      <w:r w:rsidR="00A453CA">
        <w:rPr>
          <w:lang w:val="en-GB"/>
        </w:rPr>
        <w:t>(</w:t>
      </w:r>
      <w:r w:rsidR="00CF6C29">
        <w:rPr>
          <w:lang w:val="en-GB"/>
        </w:rPr>
        <w:t>which was 1,1</w:t>
      </w:r>
      <w:r w:rsidR="00184E0A">
        <w:rPr>
          <w:lang w:val="en-GB"/>
        </w:rPr>
        <w:t>68</w:t>
      </w:r>
      <w:r w:rsidR="00CF6C29">
        <w:rPr>
          <w:lang w:val="en-GB"/>
        </w:rPr>
        <w:t xml:space="preserve"> people in 200</w:t>
      </w:r>
      <w:r w:rsidR="00CA2DCD">
        <w:rPr>
          <w:lang w:val="en-GB"/>
        </w:rPr>
        <w:t>6</w:t>
      </w:r>
      <w:r w:rsidR="00A453CA">
        <w:rPr>
          <w:lang w:val="en-GB"/>
        </w:rPr>
        <w:t xml:space="preserve"> – a difference of 2</w:t>
      </w:r>
      <w:r w:rsidR="00CA2DCD">
        <w:rPr>
          <w:lang w:val="en-GB"/>
        </w:rPr>
        <w:t>2</w:t>
      </w:r>
      <w:r w:rsidR="00A453CA">
        <w:rPr>
          <w:lang w:val="en-GB"/>
        </w:rPr>
        <w:t xml:space="preserve"> people over 1</w:t>
      </w:r>
      <w:r w:rsidR="00CA2DCD">
        <w:rPr>
          <w:lang w:val="en-GB"/>
        </w:rPr>
        <w:t>0</w:t>
      </w:r>
      <w:r w:rsidR="00A453CA">
        <w:rPr>
          <w:lang w:val="en-GB"/>
        </w:rPr>
        <w:t xml:space="preserve"> years</w:t>
      </w:r>
      <w:r w:rsidR="00CA2DCD">
        <w:rPr>
          <w:lang w:val="en-GB"/>
        </w:rPr>
        <w:t xml:space="preserve"> to 2016</w:t>
      </w:r>
      <w:r w:rsidR="00A453CA">
        <w:rPr>
          <w:lang w:val="en-GB"/>
        </w:rPr>
        <w:t xml:space="preserve">) and a sustainably growing </w:t>
      </w:r>
      <w:r w:rsidR="00051250">
        <w:rPr>
          <w:lang w:val="en-GB"/>
        </w:rPr>
        <w:t>population of 1% or 2% per year</w:t>
      </w:r>
      <w:r w:rsidR="00A453CA">
        <w:rPr>
          <w:lang w:val="en-GB"/>
        </w:rPr>
        <w:t xml:space="preserve">. </w:t>
      </w:r>
    </w:p>
    <w:p w14:paraId="23B4F2A1" w14:textId="1F3F9A35" w:rsidR="00D677CC" w:rsidRDefault="0090503C" w:rsidP="008576CA">
      <w:pPr>
        <w:jc w:val="both"/>
        <w:rPr>
          <w:lang w:val="en-GB"/>
        </w:rPr>
      </w:pPr>
      <w:r>
        <w:rPr>
          <w:lang w:val="en-GB"/>
        </w:rPr>
        <w:t>A p</w:t>
      </w:r>
      <w:r w:rsidR="00D677CC">
        <w:rPr>
          <w:lang w:val="en-GB"/>
        </w:rPr>
        <w:t xml:space="preserve">opulation growth of 1% </w:t>
      </w:r>
      <w:r w:rsidR="00C8245C">
        <w:rPr>
          <w:lang w:val="en-GB"/>
        </w:rPr>
        <w:t>year on year</w:t>
      </w:r>
      <w:r w:rsidR="009A1C01">
        <w:rPr>
          <w:lang w:val="en-GB"/>
        </w:rPr>
        <w:t xml:space="preserve"> for Pingelly</w:t>
      </w:r>
      <w:r w:rsidR="00C8245C">
        <w:rPr>
          <w:lang w:val="en-GB"/>
        </w:rPr>
        <w:t xml:space="preserve"> </w:t>
      </w:r>
      <w:r w:rsidR="009A326D">
        <w:rPr>
          <w:lang w:val="en-GB"/>
        </w:rPr>
        <w:t>(</w:t>
      </w:r>
      <w:r w:rsidR="00BA4653">
        <w:rPr>
          <w:lang w:val="en-GB"/>
        </w:rPr>
        <w:t>approx. 200 additional people since</w:t>
      </w:r>
      <w:r w:rsidR="00000FA9">
        <w:rPr>
          <w:lang w:val="en-GB"/>
        </w:rPr>
        <w:t xml:space="preserve"> 200</w:t>
      </w:r>
      <w:r w:rsidR="00184E0A">
        <w:rPr>
          <w:lang w:val="en-GB"/>
        </w:rPr>
        <w:t>6</w:t>
      </w:r>
      <w:r w:rsidR="00000FA9">
        <w:rPr>
          <w:lang w:val="en-GB"/>
        </w:rPr>
        <w:t>)</w:t>
      </w:r>
      <w:r w:rsidR="00BA4653">
        <w:rPr>
          <w:lang w:val="en-GB"/>
        </w:rPr>
        <w:t xml:space="preserve"> </w:t>
      </w:r>
      <w:r w:rsidR="002F6788">
        <w:rPr>
          <w:lang w:val="en-GB"/>
        </w:rPr>
        <w:t>would mean additional houses being built</w:t>
      </w:r>
      <w:r w:rsidR="005E7AAE">
        <w:rPr>
          <w:lang w:val="en-GB"/>
        </w:rPr>
        <w:t>, stable house prices,</w:t>
      </w:r>
      <w:r w:rsidR="00000FA9">
        <w:rPr>
          <w:lang w:val="en-GB"/>
        </w:rPr>
        <w:t xml:space="preserve"> a more sustainable local economy</w:t>
      </w:r>
      <w:r w:rsidR="005E7AAE">
        <w:rPr>
          <w:lang w:val="en-GB"/>
        </w:rPr>
        <w:t xml:space="preserve"> </w:t>
      </w:r>
      <w:r w:rsidR="001116F7">
        <w:rPr>
          <w:lang w:val="en-GB"/>
        </w:rPr>
        <w:t xml:space="preserve">supported by the </w:t>
      </w:r>
      <w:r w:rsidR="00117E44">
        <w:rPr>
          <w:lang w:val="en-GB"/>
        </w:rPr>
        <w:t xml:space="preserve">additional </w:t>
      </w:r>
      <w:r w:rsidR="00FE4B2B">
        <w:rPr>
          <w:lang w:val="en-GB"/>
        </w:rPr>
        <w:t>population</w:t>
      </w:r>
      <w:r w:rsidR="00E32A81">
        <w:rPr>
          <w:lang w:val="en-GB"/>
        </w:rPr>
        <w:t xml:space="preserve"> and</w:t>
      </w:r>
      <w:r w:rsidR="00C8245C">
        <w:rPr>
          <w:lang w:val="en-GB"/>
        </w:rPr>
        <w:t xml:space="preserve"> </w:t>
      </w:r>
      <w:r w:rsidR="002F6788">
        <w:rPr>
          <w:lang w:val="en-GB"/>
        </w:rPr>
        <w:t>increases in the rates base</w:t>
      </w:r>
      <w:r w:rsidR="00E32A81">
        <w:rPr>
          <w:lang w:val="en-GB"/>
        </w:rPr>
        <w:t xml:space="preserve"> </w:t>
      </w:r>
      <w:r w:rsidR="009C2330">
        <w:rPr>
          <w:lang w:val="en-GB"/>
        </w:rPr>
        <w:t xml:space="preserve">partially </w:t>
      </w:r>
      <w:r w:rsidR="00E32A81">
        <w:rPr>
          <w:lang w:val="en-GB"/>
        </w:rPr>
        <w:t xml:space="preserve">negating the need for rate increases. </w:t>
      </w:r>
      <w:r w:rsidR="004B49E8">
        <w:rPr>
          <w:lang w:val="en-GB"/>
        </w:rPr>
        <w:t xml:space="preserve">This modest population growth is being prevented by </w:t>
      </w:r>
      <w:r w:rsidR="004870E5">
        <w:rPr>
          <w:lang w:val="en-GB"/>
        </w:rPr>
        <w:t>the current Student Transport</w:t>
      </w:r>
      <w:r w:rsidR="00F55084" w:rsidRPr="00F55084">
        <w:rPr>
          <w:lang w:val="en-GB"/>
        </w:rPr>
        <w:t xml:space="preserve"> </w:t>
      </w:r>
      <w:r w:rsidR="00F55084" w:rsidRPr="00F55084">
        <w:rPr>
          <w:lang w:val="en-GB"/>
        </w:rPr>
        <w:t>Assistance</w:t>
      </w:r>
      <w:r w:rsidR="004870E5">
        <w:rPr>
          <w:lang w:val="en-GB"/>
        </w:rPr>
        <w:t xml:space="preserve"> Policy which has deterred families </w:t>
      </w:r>
      <w:r w:rsidR="00535DB7">
        <w:rPr>
          <w:lang w:val="en-GB"/>
        </w:rPr>
        <w:t xml:space="preserve">from moving to Pingelly and </w:t>
      </w:r>
      <w:r w:rsidR="00A21D35">
        <w:rPr>
          <w:lang w:val="en-GB"/>
        </w:rPr>
        <w:t>encouraging families to move from Pingelly resulting in a weaker local and regional economy.</w:t>
      </w:r>
    </w:p>
    <w:p w14:paraId="5C40F36D" w14:textId="77777777" w:rsidR="00F579B4" w:rsidRDefault="00F579B4" w:rsidP="008576CA">
      <w:pPr>
        <w:jc w:val="both"/>
        <w:rPr>
          <w:lang w:val="en-GB"/>
        </w:rPr>
      </w:pPr>
    </w:p>
    <w:p w14:paraId="1D51EFDB" w14:textId="70E034BC" w:rsidR="008576CA" w:rsidRPr="00C769A6" w:rsidRDefault="008576CA" w:rsidP="00C769A6">
      <w:pPr>
        <w:spacing w:after="0"/>
        <w:jc w:val="both"/>
        <w:rPr>
          <w:b/>
          <w:bCs/>
          <w:lang w:val="en-GB"/>
        </w:rPr>
      </w:pPr>
      <w:r w:rsidRPr="00C769A6">
        <w:rPr>
          <w:b/>
          <w:bCs/>
          <w:lang w:val="en-GB"/>
        </w:rPr>
        <w:t xml:space="preserve">Conclusion </w:t>
      </w:r>
    </w:p>
    <w:p w14:paraId="1C791292" w14:textId="3884E731" w:rsidR="002A07CF" w:rsidRDefault="002A07CF" w:rsidP="008576CA">
      <w:pPr>
        <w:jc w:val="both"/>
        <w:rPr>
          <w:lang w:val="en-GB"/>
        </w:rPr>
      </w:pPr>
      <w:r>
        <w:rPr>
          <w:lang w:val="en-GB"/>
        </w:rPr>
        <w:t xml:space="preserve">The current Student Transport </w:t>
      </w:r>
      <w:r w:rsidR="00F55084">
        <w:rPr>
          <w:lang w:val="en-GB"/>
        </w:rPr>
        <w:t>Assistance</w:t>
      </w:r>
      <w:r w:rsidR="00F55084">
        <w:rPr>
          <w:lang w:val="en-GB"/>
        </w:rPr>
        <w:t xml:space="preserve"> </w:t>
      </w:r>
      <w:r>
        <w:rPr>
          <w:lang w:val="en-GB"/>
        </w:rPr>
        <w:t xml:space="preserve">Policy </w:t>
      </w:r>
      <w:r w:rsidR="001C5A81">
        <w:rPr>
          <w:lang w:val="en-GB"/>
        </w:rPr>
        <w:t>does not make logical sense</w:t>
      </w:r>
      <w:r w:rsidR="008604E7">
        <w:rPr>
          <w:lang w:val="en-GB"/>
        </w:rPr>
        <w:t xml:space="preserve"> when applied to Pingelly</w:t>
      </w:r>
      <w:r w:rsidR="00A72289">
        <w:rPr>
          <w:lang w:val="en-GB"/>
        </w:rPr>
        <w:t>,</w:t>
      </w:r>
      <w:r w:rsidR="001C5A81">
        <w:rPr>
          <w:lang w:val="en-GB"/>
        </w:rPr>
        <w:t xml:space="preserve"> considering that under this policy </w:t>
      </w:r>
      <w:r w:rsidR="00850EB6">
        <w:rPr>
          <w:lang w:val="en-GB"/>
        </w:rPr>
        <w:t xml:space="preserve">a bus service </w:t>
      </w:r>
      <w:r w:rsidR="00C60DF9">
        <w:rPr>
          <w:lang w:val="en-GB"/>
        </w:rPr>
        <w:t xml:space="preserve">operates from Pingelly to both Brookton and Narrogin. </w:t>
      </w:r>
      <w:r w:rsidR="00E92213">
        <w:rPr>
          <w:lang w:val="en-GB"/>
        </w:rPr>
        <w:t>Simply a</w:t>
      </w:r>
      <w:r w:rsidR="00C60DF9">
        <w:rPr>
          <w:lang w:val="en-GB"/>
        </w:rPr>
        <w:t xml:space="preserve"> larger bus to Narrogin</w:t>
      </w:r>
      <w:r w:rsidR="00E92213">
        <w:rPr>
          <w:lang w:val="en-GB"/>
        </w:rPr>
        <w:t xml:space="preserve"> on the existing service</w:t>
      </w:r>
      <w:r w:rsidR="00C60DF9">
        <w:rPr>
          <w:lang w:val="en-GB"/>
        </w:rPr>
        <w:t xml:space="preserve"> </w:t>
      </w:r>
      <w:r w:rsidR="00B809F2">
        <w:rPr>
          <w:lang w:val="en-GB"/>
        </w:rPr>
        <w:t>w</w:t>
      </w:r>
      <w:r w:rsidR="00C60DF9">
        <w:rPr>
          <w:lang w:val="en-GB"/>
        </w:rPr>
        <w:t xml:space="preserve">ould </w:t>
      </w:r>
      <w:r w:rsidR="00835BFE">
        <w:rPr>
          <w:lang w:val="en-GB"/>
        </w:rPr>
        <w:t xml:space="preserve">provide a suitable option </w:t>
      </w:r>
      <w:r w:rsidR="00121A52">
        <w:rPr>
          <w:lang w:val="en-GB"/>
        </w:rPr>
        <w:t>for</w:t>
      </w:r>
      <w:r w:rsidR="00835BFE">
        <w:rPr>
          <w:lang w:val="en-GB"/>
        </w:rPr>
        <w:t xml:space="preserve"> all students</w:t>
      </w:r>
      <w:r w:rsidR="0043531B">
        <w:rPr>
          <w:lang w:val="en-GB"/>
        </w:rPr>
        <w:t xml:space="preserve"> to attend the school of their choice</w:t>
      </w:r>
      <w:r w:rsidR="00121A52">
        <w:rPr>
          <w:lang w:val="en-GB"/>
        </w:rPr>
        <w:t>.</w:t>
      </w:r>
    </w:p>
    <w:p w14:paraId="026F365C" w14:textId="48A59140" w:rsidR="00164EBC" w:rsidRDefault="001017DD" w:rsidP="008576CA">
      <w:pPr>
        <w:jc w:val="both"/>
        <w:rPr>
          <w:lang w:val="en-GB"/>
        </w:rPr>
      </w:pPr>
      <w:r>
        <w:rPr>
          <w:lang w:val="en-GB"/>
        </w:rPr>
        <w:t xml:space="preserve">As a result of the student outcomes, </w:t>
      </w:r>
      <w:r w:rsidR="00742A17">
        <w:rPr>
          <w:lang w:val="en-GB"/>
        </w:rPr>
        <w:t>current inequity and impact on eco</w:t>
      </w:r>
      <w:r w:rsidR="009713DD">
        <w:rPr>
          <w:lang w:val="en-GB"/>
        </w:rPr>
        <w:t>nomic</w:t>
      </w:r>
      <w:r w:rsidR="00742A17">
        <w:rPr>
          <w:lang w:val="en-GB"/>
        </w:rPr>
        <w:t xml:space="preserve"> development, there is a </w:t>
      </w:r>
      <w:r w:rsidR="009713DD">
        <w:rPr>
          <w:lang w:val="en-GB"/>
        </w:rPr>
        <w:t>social, moral and financial imperative</w:t>
      </w:r>
      <w:r w:rsidR="001B5D22">
        <w:rPr>
          <w:lang w:val="en-GB"/>
        </w:rPr>
        <w:t xml:space="preserve"> respectively</w:t>
      </w:r>
      <w:r w:rsidR="009713DD">
        <w:rPr>
          <w:lang w:val="en-GB"/>
        </w:rPr>
        <w:t xml:space="preserve"> for</w:t>
      </w:r>
      <w:r w:rsidR="00A50806">
        <w:rPr>
          <w:lang w:val="en-GB"/>
        </w:rPr>
        <w:t xml:space="preserve"> </w:t>
      </w:r>
      <w:r w:rsidR="00D94FD9">
        <w:rPr>
          <w:lang w:val="en-GB"/>
        </w:rPr>
        <w:t>th</w:t>
      </w:r>
      <w:r w:rsidR="009713DD">
        <w:rPr>
          <w:lang w:val="en-GB"/>
        </w:rPr>
        <w:t xml:space="preserve">e current </w:t>
      </w:r>
      <w:r w:rsidR="001424C2">
        <w:rPr>
          <w:lang w:val="en-GB"/>
        </w:rPr>
        <w:t xml:space="preserve">Student Transport </w:t>
      </w:r>
      <w:r w:rsidR="00F55084">
        <w:rPr>
          <w:lang w:val="en-GB"/>
        </w:rPr>
        <w:t>Assistance</w:t>
      </w:r>
      <w:r w:rsidR="00F55084">
        <w:rPr>
          <w:lang w:val="en-GB"/>
        </w:rPr>
        <w:t xml:space="preserve"> </w:t>
      </w:r>
      <w:r w:rsidR="001424C2">
        <w:rPr>
          <w:lang w:val="en-GB"/>
        </w:rPr>
        <w:t xml:space="preserve">Policy </w:t>
      </w:r>
      <w:r w:rsidR="00D17279">
        <w:rPr>
          <w:lang w:val="en-GB"/>
        </w:rPr>
        <w:t>to be changed</w:t>
      </w:r>
      <w:r w:rsidR="00D94FD9">
        <w:rPr>
          <w:lang w:val="en-GB"/>
        </w:rPr>
        <w:t xml:space="preserve"> and a</w:t>
      </w:r>
      <w:r w:rsidR="001B5D22">
        <w:rPr>
          <w:lang w:val="en-GB"/>
        </w:rPr>
        <w:t>n</w:t>
      </w:r>
      <w:r w:rsidR="00D94FD9">
        <w:rPr>
          <w:lang w:val="en-GB"/>
        </w:rPr>
        <w:t xml:space="preserve"> </w:t>
      </w:r>
      <w:r w:rsidR="00D17279">
        <w:rPr>
          <w:lang w:val="en-GB"/>
        </w:rPr>
        <w:t xml:space="preserve">adequate </w:t>
      </w:r>
      <w:r w:rsidR="00D94FD9">
        <w:rPr>
          <w:lang w:val="en-GB"/>
        </w:rPr>
        <w:t xml:space="preserve">bus service </w:t>
      </w:r>
      <w:r w:rsidR="00D17279">
        <w:rPr>
          <w:lang w:val="en-GB"/>
        </w:rPr>
        <w:t xml:space="preserve">to be provided </w:t>
      </w:r>
      <w:r w:rsidR="00D94FD9">
        <w:rPr>
          <w:lang w:val="en-GB"/>
        </w:rPr>
        <w:t xml:space="preserve">which guarantees a seat for all </w:t>
      </w:r>
      <w:r>
        <w:rPr>
          <w:lang w:val="en-GB"/>
        </w:rPr>
        <w:t xml:space="preserve">Pingelly </w:t>
      </w:r>
      <w:r w:rsidR="00D94FD9">
        <w:rPr>
          <w:lang w:val="en-GB"/>
        </w:rPr>
        <w:t xml:space="preserve">students </w:t>
      </w:r>
      <w:r w:rsidR="00760538">
        <w:rPr>
          <w:lang w:val="en-GB"/>
        </w:rPr>
        <w:t>to travel to attend the Brookton District High School, Narrogin Senior High School or St Matthew’s Catholic School in Narrogin</w:t>
      </w:r>
      <w:r w:rsidR="00C769A6">
        <w:rPr>
          <w:lang w:val="en-GB"/>
        </w:rPr>
        <w:t xml:space="preserve"> according to their choice</w:t>
      </w:r>
      <w:r w:rsidR="00760538">
        <w:rPr>
          <w:lang w:val="en-GB"/>
        </w:rPr>
        <w:t>.</w:t>
      </w:r>
    </w:p>
    <w:p w14:paraId="6272D4F6" w14:textId="77777777" w:rsidR="00A50806" w:rsidRDefault="00A50806" w:rsidP="008576CA">
      <w:pPr>
        <w:jc w:val="both"/>
        <w:rPr>
          <w:lang w:val="en-GB"/>
        </w:rPr>
      </w:pPr>
    </w:p>
    <w:p w14:paraId="1BF4F48C" w14:textId="21C117CB" w:rsidR="008576CA" w:rsidRDefault="008576CA" w:rsidP="008576CA">
      <w:pPr>
        <w:jc w:val="both"/>
        <w:rPr>
          <w:lang w:val="en-GB"/>
        </w:rPr>
      </w:pPr>
      <w:r>
        <w:rPr>
          <w:lang w:val="en-GB"/>
        </w:rPr>
        <w:t>Signed for the Shire of Pingelly and on behalf of the residents of Pingelly: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576CA" w14:paraId="57DAA3FA" w14:textId="77777777" w:rsidTr="008576CA">
        <w:trPr>
          <w:trHeight w:val="2078"/>
        </w:trPr>
        <w:tc>
          <w:tcPr>
            <w:tcW w:w="4508" w:type="dxa"/>
          </w:tcPr>
          <w:p w14:paraId="3BC13F57" w14:textId="03F8C53A" w:rsidR="008576CA" w:rsidRDefault="008576CA" w:rsidP="008576CA">
            <w:pPr>
              <w:jc w:val="both"/>
              <w:rPr>
                <w:lang w:val="en-GB"/>
              </w:rPr>
            </w:pPr>
          </w:p>
          <w:p w14:paraId="0CE62FBF" w14:textId="7699C84D" w:rsidR="005F3610" w:rsidRDefault="005F3610" w:rsidP="008576CA">
            <w:pPr>
              <w:jc w:val="both"/>
              <w:rPr>
                <w:lang w:val="en-GB"/>
              </w:rPr>
            </w:pPr>
            <w:r>
              <w:rPr>
                <w:noProof/>
                <w:lang w:val="en-GB"/>
              </w:rPr>
              <w:drawing>
                <wp:inline distT="0" distB="0" distL="0" distR="0" wp14:anchorId="04A618EE" wp14:editId="731705C0">
                  <wp:extent cx="1104900" cy="555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1458" cy="568348"/>
                          </a:xfrm>
                          <a:prstGeom prst="rect">
                            <a:avLst/>
                          </a:prstGeom>
                          <a:noFill/>
                          <a:ln>
                            <a:noFill/>
                          </a:ln>
                        </pic:spPr>
                      </pic:pic>
                    </a:graphicData>
                  </a:graphic>
                </wp:inline>
              </w:drawing>
            </w:r>
          </w:p>
          <w:p w14:paraId="3A83990D" w14:textId="2C3CC63A" w:rsidR="008576CA" w:rsidRPr="008576CA" w:rsidRDefault="008576CA" w:rsidP="008576CA">
            <w:pPr>
              <w:jc w:val="both"/>
              <w:rPr>
                <w:u w:val="single"/>
                <w:lang w:val="en-GB"/>
              </w:rPr>
            </w:pPr>
            <w:r w:rsidRPr="008576CA">
              <w:rPr>
                <w:u w:val="single"/>
                <w:lang w:val="en-GB"/>
              </w:rPr>
              <w:tab/>
            </w:r>
            <w:r>
              <w:rPr>
                <w:u w:val="single"/>
                <w:lang w:val="en-GB"/>
              </w:rPr>
              <w:tab/>
            </w:r>
            <w:r>
              <w:rPr>
                <w:u w:val="single"/>
                <w:lang w:val="en-GB"/>
              </w:rPr>
              <w:tab/>
            </w:r>
          </w:p>
          <w:p w14:paraId="7FA7C47E" w14:textId="33EFEDA2" w:rsidR="008576CA" w:rsidRDefault="008576CA" w:rsidP="008576CA">
            <w:pPr>
              <w:jc w:val="both"/>
              <w:rPr>
                <w:lang w:val="en-GB"/>
              </w:rPr>
            </w:pPr>
            <w:r>
              <w:rPr>
                <w:lang w:val="en-GB"/>
              </w:rPr>
              <w:t>Mr. Andrew Dover</w:t>
            </w:r>
          </w:p>
          <w:p w14:paraId="1B7DBB95" w14:textId="77777777" w:rsidR="008576CA" w:rsidRPr="008576CA" w:rsidRDefault="008576CA" w:rsidP="008576CA">
            <w:pPr>
              <w:jc w:val="both"/>
              <w:rPr>
                <w:b/>
                <w:bCs/>
                <w:lang w:val="en-GB"/>
              </w:rPr>
            </w:pPr>
            <w:r w:rsidRPr="008576CA">
              <w:rPr>
                <w:b/>
                <w:bCs/>
                <w:lang w:val="en-GB"/>
              </w:rPr>
              <w:t xml:space="preserve">Chief Executive Officer </w:t>
            </w:r>
          </w:p>
          <w:p w14:paraId="53420934" w14:textId="767D6DBA" w:rsidR="008576CA" w:rsidRDefault="008576CA" w:rsidP="008576CA">
            <w:pPr>
              <w:jc w:val="both"/>
              <w:rPr>
                <w:lang w:val="en-GB"/>
              </w:rPr>
            </w:pPr>
            <w:r>
              <w:rPr>
                <w:lang w:val="en-GB"/>
              </w:rPr>
              <w:t>20 October 2021</w:t>
            </w:r>
          </w:p>
        </w:tc>
        <w:tc>
          <w:tcPr>
            <w:tcW w:w="4508" w:type="dxa"/>
          </w:tcPr>
          <w:p w14:paraId="74BAF478" w14:textId="77777777" w:rsidR="008576CA" w:rsidRDefault="008576CA" w:rsidP="008576CA">
            <w:pPr>
              <w:jc w:val="both"/>
              <w:rPr>
                <w:lang w:val="en-GB"/>
              </w:rPr>
            </w:pPr>
          </w:p>
          <w:p w14:paraId="43B3D3DD" w14:textId="486F42BF" w:rsidR="008576CA" w:rsidRDefault="008576CA" w:rsidP="008576CA">
            <w:pPr>
              <w:jc w:val="both"/>
              <w:rPr>
                <w:lang w:val="en-GB"/>
              </w:rPr>
            </w:pPr>
          </w:p>
          <w:p w14:paraId="4ACF5E82" w14:textId="10696B1C" w:rsidR="005F3610" w:rsidRDefault="005F3610" w:rsidP="008576CA">
            <w:pPr>
              <w:jc w:val="both"/>
              <w:rPr>
                <w:lang w:val="en-GB"/>
              </w:rPr>
            </w:pPr>
          </w:p>
          <w:p w14:paraId="373EC865" w14:textId="77777777" w:rsidR="005F3610" w:rsidRDefault="005F3610" w:rsidP="008576CA">
            <w:pPr>
              <w:jc w:val="both"/>
              <w:rPr>
                <w:lang w:val="en-GB"/>
              </w:rPr>
            </w:pPr>
          </w:p>
          <w:p w14:paraId="78C60FEB" w14:textId="77777777" w:rsidR="008576CA" w:rsidRPr="008576CA" w:rsidRDefault="008576CA" w:rsidP="008576CA">
            <w:pPr>
              <w:jc w:val="both"/>
              <w:rPr>
                <w:u w:val="single"/>
                <w:lang w:val="en-GB"/>
              </w:rPr>
            </w:pPr>
            <w:r w:rsidRPr="008576CA">
              <w:rPr>
                <w:u w:val="single"/>
                <w:lang w:val="en-GB"/>
              </w:rPr>
              <w:tab/>
            </w:r>
            <w:r>
              <w:rPr>
                <w:u w:val="single"/>
                <w:lang w:val="en-GB"/>
              </w:rPr>
              <w:tab/>
            </w:r>
            <w:r>
              <w:rPr>
                <w:u w:val="single"/>
                <w:lang w:val="en-GB"/>
              </w:rPr>
              <w:tab/>
            </w:r>
          </w:p>
          <w:p w14:paraId="59637707" w14:textId="6D3C389B" w:rsidR="008576CA" w:rsidRDefault="008576CA" w:rsidP="008576CA">
            <w:pPr>
              <w:jc w:val="both"/>
              <w:rPr>
                <w:lang w:val="en-GB"/>
              </w:rPr>
            </w:pPr>
            <w:r>
              <w:rPr>
                <w:lang w:val="en-GB"/>
              </w:rPr>
              <w:t xml:space="preserve">Cr. William Mulroney </w:t>
            </w:r>
          </w:p>
          <w:p w14:paraId="6DD2D9A5" w14:textId="77777777" w:rsidR="008576CA" w:rsidRPr="008576CA" w:rsidRDefault="008576CA" w:rsidP="008576CA">
            <w:pPr>
              <w:jc w:val="both"/>
              <w:rPr>
                <w:b/>
                <w:bCs/>
                <w:lang w:val="en-GB"/>
              </w:rPr>
            </w:pPr>
            <w:r w:rsidRPr="008576CA">
              <w:rPr>
                <w:b/>
                <w:bCs/>
                <w:lang w:val="en-GB"/>
              </w:rPr>
              <w:t>Shire President</w:t>
            </w:r>
          </w:p>
          <w:p w14:paraId="2767E576" w14:textId="17EEB60C" w:rsidR="008576CA" w:rsidRDefault="008576CA" w:rsidP="008576CA">
            <w:pPr>
              <w:jc w:val="both"/>
              <w:rPr>
                <w:lang w:val="en-GB"/>
              </w:rPr>
            </w:pPr>
            <w:r>
              <w:rPr>
                <w:lang w:val="en-GB"/>
              </w:rPr>
              <w:t>20 October 2021</w:t>
            </w:r>
          </w:p>
        </w:tc>
      </w:tr>
    </w:tbl>
    <w:p w14:paraId="07BA8384" w14:textId="77777777" w:rsidR="008576CA" w:rsidRDefault="008576CA" w:rsidP="008576CA">
      <w:pPr>
        <w:jc w:val="both"/>
        <w:rPr>
          <w:lang w:val="en-GB"/>
        </w:rPr>
      </w:pPr>
    </w:p>
    <w:sectPr w:rsidR="008576CA" w:rsidSect="009A3F7F">
      <w:headerReference w:type="default" r:id="rId9"/>
      <w:footerReference w:type="default" r:id="rId10"/>
      <w:pgSz w:w="11906" w:h="16838"/>
      <w:pgMar w:top="2552" w:right="1440" w:bottom="1134" w:left="1440" w:header="851"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AF86E" w14:textId="77777777" w:rsidR="00FE3C6E" w:rsidRDefault="00FE3C6E" w:rsidP="0044393F">
      <w:pPr>
        <w:spacing w:after="0" w:line="240" w:lineRule="auto"/>
      </w:pPr>
      <w:r>
        <w:separator/>
      </w:r>
    </w:p>
  </w:endnote>
  <w:endnote w:type="continuationSeparator" w:id="0">
    <w:p w14:paraId="2230C4D4" w14:textId="77777777" w:rsidR="00FE3C6E" w:rsidRDefault="00FE3C6E" w:rsidP="0044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88448"/>
      <w:docPartObj>
        <w:docPartGallery w:val="Page Numbers (Bottom of Page)"/>
        <w:docPartUnique/>
      </w:docPartObj>
    </w:sdtPr>
    <w:sdtEndPr>
      <w:rPr>
        <w:noProof/>
      </w:rPr>
    </w:sdtEndPr>
    <w:sdtContent>
      <w:p w14:paraId="48799531" w14:textId="486E75C6" w:rsidR="000E5EFF" w:rsidRDefault="000E5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B17AB" w14:textId="77777777" w:rsidR="000E5EFF" w:rsidRDefault="000E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2C512" w14:textId="77777777" w:rsidR="00FE3C6E" w:rsidRDefault="00FE3C6E" w:rsidP="0044393F">
      <w:pPr>
        <w:spacing w:after="0" w:line="240" w:lineRule="auto"/>
      </w:pPr>
      <w:r>
        <w:separator/>
      </w:r>
    </w:p>
  </w:footnote>
  <w:footnote w:type="continuationSeparator" w:id="0">
    <w:p w14:paraId="06B435B4" w14:textId="77777777" w:rsidR="00FE3C6E" w:rsidRDefault="00FE3C6E" w:rsidP="00443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59139" w14:textId="7891C76E" w:rsidR="0044393F" w:rsidRPr="003B5015" w:rsidRDefault="0044393F">
    <w:pPr>
      <w:pStyle w:val="Header"/>
      <w:rPr>
        <w:b/>
        <w:bCs/>
        <w:sz w:val="74"/>
        <w:szCs w:val="74"/>
        <w:lang w:val="en-GB"/>
      </w:rPr>
    </w:pPr>
    <w:r w:rsidRPr="003B5015">
      <w:rPr>
        <w:b/>
        <w:bCs/>
        <w:sz w:val="74"/>
        <w:szCs w:val="74"/>
        <w:lang w:val="en-GB"/>
      </w:rPr>
      <w:t xml:space="preserve">Shire of Pingelly </w:t>
    </w:r>
  </w:p>
  <w:p w14:paraId="21E778F3" w14:textId="5D11564F" w:rsidR="00BE7301" w:rsidRDefault="0044393F" w:rsidP="0044393F">
    <w:pPr>
      <w:pStyle w:val="Header"/>
      <w:rPr>
        <w:b/>
        <w:bCs/>
        <w:sz w:val="26"/>
        <w:szCs w:val="26"/>
        <w:lang w:val="en-GB"/>
      </w:rPr>
    </w:pPr>
    <w:r w:rsidRPr="0044393F">
      <w:rPr>
        <w:b/>
        <w:bCs/>
        <w:sz w:val="26"/>
        <w:szCs w:val="26"/>
        <w:lang w:val="en-GB"/>
      </w:rPr>
      <w:t xml:space="preserve">Submission to the </w:t>
    </w:r>
    <w:r w:rsidR="003B5015">
      <w:rPr>
        <w:b/>
        <w:bCs/>
        <w:sz w:val="26"/>
        <w:szCs w:val="26"/>
        <w:lang w:val="en-GB"/>
      </w:rPr>
      <w:t>Public Accounts Committee</w:t>
    </w:r>
    <w:r w:rsidR="00BE7301">
      <w:rPr>
        <w:b/>
        <w:bCs/>
        <w:sz w:val="26"/>
        <w:szCs w:val="26"/>
        <w:lang w:val="en-GB"/>
      </w:rPr>
      <w:t xml:space="preserve"> </w:t>
    </w:r>
  </w:p>
  <w:p w14:paraId="0B9CADD7" w14:textId="18D029C6" w:rsidR="0044393F" w:rsidRPr="0044393F" w:rsidRDefault="0044393F" w:rsidP="0044393F">
    <w:pPr>
      <w:pStyle w:val="Header"/>
      <w:rPr>
        <w:b/>
        <w:bCs/>
        <w:sz w:val="26"/>
        <w:szCs w:val="26"/>
        <w:lang w:val="en-GB"/>
      </w:rPr>
    </w:pPr>
    <w:r w:rsidRPr="0044393F">
      <w:rPr>
        <w:b/>
        <w:bCs/>
        <w:sz w:val="26"/>
        <w:szCs w:val="26"/>
        <w:lang w:val="en-GB"/>
      </w:rPr>
      <w:t xml:space="preserve">Student Transport </w:t>
    </w:r>
    <w:r w:rsidR="003B5015">
      <w:rPr>
        <w:b/>
        <w:bCs/>
        <w:sz w:val="26"/>
        <w:szCs w:val="26"/>
        <w:lang w:val="en-GB"/>
      </w:rPr>
      <w:t xml:space="preserve">Assistance </w:t>
    </w:r>
    <w:r w:rsidRPr="0044393F">
      <w:rPr>
        <w:b/>
        <w:bCs/>
        <w:sz w:val="26"/>
        <w:szCs w:val="26"/>
        <w:lang w:val="en-GB"/>
      </w:rPr>
      <w:t>Inquiry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3F"/>
    <w:rsid w:val="00000FA9"/>
    <w:rsid w:val="0001663D"/>
    <w:rsid w:val="00032E3A"/>
    <w:rsid w:val="00033057"/>
    <w:rsid w:val="000467D2"/>
    <w:rsid w:val="00051250"/>
    <w:rsid w:val="00060979"/>
    <w:rsid w:val="00082FBE"/>
    <w:rsid w:val="000A2F95"/>
    <w:rsid w:val="000B5353"/>
    <w:rsid w:val="000B76F1"/>
    <w:rsid w:val="000C54A0"/>
    <w:rsid w:val="000D1A6D"/>
    <w:rsid w:val="000E5EFF"/>
    <w:rsid w:val="000F250F"/>
    <w:rsid w:val="001017DD"/>
    <w:rsid w:val="001039B3"/>
    <w:rsid w:val="001116F7"/>
    <w:rsid w:val="00117E44"/>
    <w:rsid w:val="00121A52"/>
    <w:rsid w:val="00125F2D"/>
    <w:rsid w:val="001424C2"/>
    <w:rsid w:val="00164EBC"/>
    <w:rsid w:val="001677B4"/>
    <w:rsid w:val="00170FCE"/>
    <w:rsid w:val="00176DDA"/>
    <w:rsid w:val="0018489A"/>
    <w:rsid w:val="00184E0A"/>
    <w:rsid w:val="00186DCA"/>
    <w:rsid w:val="001A5CED"/>
    <w:rsid w:val="001B5D22"/>
    <w:rsid w:val="001C36A6"/>
    <w:rsid w:val="001C5A81"/>
    <w:rsid w:val="001E648C"/>
    <w:rsid w:val="001E7943"/>
    <w:rsid w:val="002108ED"/>
    <w:rsid w:val="0022783E"/>
    <w:rsid w:val="00244BD0"/>
    <w:rsid w:val="00251315"/>
    <w:rsid w:val="00252D19"/>
    <w:rsid w:val="002538B5"/>
    <w:rsid w:val="00264DE0"/>
    <w:rsid w:val="00277174"/>
    <w:rsid w:val="002A07CF"/>
    <w:rsid w:val="002B6CF7"/>
    <w:rsid w:val="002E61C2"/>
    <w:rsid w:val="002E67CE"/>
    <w:rsid w:val="002F6788"/>
    <w:rsid w:val="00302045"/>
    <w:rsid w:val="00305E88"/>
    <w:rsid w:val="00333F81"/>
    <w:rsid w:val="00370098"/>
    <w:rsid w:val="003A2A52"/>
    <w:rsid w:val="003B4C2C"/>
    <w:rsid w:val="003B5015"/>
    <w:rsid w:val="003C3470"/>
    <w:rsid w:val="00402352"/>
    <w:rsid w:val="00423BA3"/>
    <w:rsid w:val="0042757F"/>
    <w:rsid w:val="0043531B"/>
    <w:rsid w:val="0044393F"/>
    <w:rsid w:val="00455988"/>
    <w:rsid w:val="00456F01"/>
    <w:rsid w:val="0045796D"/>
    <w:rsid w:val="00460DAD"/>
    <w:rsid w:val="00464556"/>
    <w:rsid w:val="0047612D"/>
    <w:rsid w:val="004834E5"/>
    <w:rsid w:val="004870E5"/>
    <w:rsid w:val="004907EF"/>
    <w:rsid w:val="004A0549"/>
    <w:rsid w:val="004A15F8"/>
    <w:rsid w:val="004A28A6"/>
    <w:rsid w:val="004B1B1D"/>
    <w:rsid w:val="004B49E8"/>
    <w:rsid w:val="004B4B29"/>
    <w:rsid w:val="004C4AD6"/>
    <w:rsid w:val="004D6C70"/>
    <w:rsid w:val="004F7415"/>
    <w:rsid w:val="00501316"/>
    <w:rsid w:val="00511CDB"/>
    <w:rsid w:val="00516212"/>
    <w:rsid w:val="00531540"/>
    <w:rsid w:val="00535DB7"/>
    <w:rsid w:val="0054057E"/>
    <w:rsid w:val="005416F2"/>
    <w:rsid w:val="00555AB2"/>
    <w:rsid w:val="0056337F"/>
    <w:rsid w:val="005747EC"/>
    <w:rsid w:val="005874F2"/>
    <w:rsid w:val="00587AB8"/>
    <w:rsid w:val="005B4DEA"/>
    <w:rsid w:val="005D2978"/>
    <w:rsid w:val="005E7AAE"/>
    <w:rsid w:val="005F06CB"/>
    <w:rsid w:val="005F3610"/>
    <w:rsid w:val="005F59DC"/>
    <w:rsid w:val="005F6C4A"/>
    <w:rsid w:val="006011CD"/>
    <w:rsid w:val="006179BF"/>
    <w:rsid w:val="00620AAF"/>
    <w:rsid w:val="00633E4F"/>
    <w:rsid w:val="00642524"/>
    <w:rsid w:val="0064470A"/>
    <w:rsid w:val="0066388F"/>
    <w:rsid w:val="00675FAD"/>
    <w:rsid w:val="00680E07"/>
    <w:rsid w:val="0069489C"/>
    <w:rsid w:val="006D546F"/>
    <w:rsid w:val="006E0C57"/>
    <w:rsid w:val="006F051F"/>
    <w:rsid w:val="006F1FCF"/>
    <w:rsid w:val="006F2E5F"/>
    <w:rsid w:val="006F4E28"/>
    <w:rsid w:val="00721562"/>
    <w:rsid w:val="00731961"/>
    <w:rsid w:val="00742A17"/>
    <w:rsid w:val="007431A6"/>
    <w:rsid w:val="00743CCB"/>
    <w:rsid w:val="007513DA"/>
    <w:rsid w:val="00760538"/>
    <w:rsid w:val="00766B53"/>
    <w:rsid w:val="0078316A"/>
    <w:rsid w:val="007845B7"/>
    <w:rsid w:val="00790CAC"/>
    <w:rsid w:val="00795D4C"/>
    <w:rsid w:val="00796EA8"/>
    <w:rsid w:val="007A35C7"/>
    <w:rsid w:val="007C73DF"/>
    <w:rsid w:val="007D1E64"/>
    <w:rsid w:val="007E5A0A"/>
    <w:rsid w:val="00807512"/>
    <w:rsid w:val="00820057"/>
    <w:rsid w:val="00830403"/>
    <w:rsid w:val="00832630"/>
    <w:rsid w:val="008344DE"/>
    <w:rsid w:val="00835BFE"/>
    <w:rsid w:val="0084318F"/>
    <w:rsid w:val="00846E8B"/>
    <w:rsid w:val="00850EB6"/>
    <w:rsid w:val="008576CA"/>
    <w:rsid w:val="008604E7"/>
    <w:rsid w:val="00885D34"/>
    <w:rsid w:val="00893F76"/>
    <w:rsid w:val="00895B1E"/>
    <w:rsid w:val="008D05BC"/>
    <w:rsid w:val="008D7EB8"/>
    <w:rsid w:val="0090503C"/>
    <w:rsid w:val="00911764"/>
    <w:rsid w:val="00915873"/>
    <w:rsid w:val="009234E0"/>
    <w:rsid w:val="009367D0"/>
    <w:rsid w:val="009369D7"/>
    <w:rsid w:val="00946E07"/>
    <w:rsid w:val="00950F33"/>
    <w:rsid w:val="00953A32"/>
    <w:rsid w:val="009712DD"/>
    <w:rsid w:val="009713DD"/>
    <w:rsid w:val="00974096"/>
    <w:rsid w:val="00975103"/>
    <w:rsid w:val="00983629"/>
    <w:rsid w:val="00985161"/>
    <w:rsid w:val="009856F2"/>
    <w:rsid w:val="0098695D"/>
    <w:rsid w:val="0099120A"/>
    <w:rsid w:val="009A1C01"/>
    <w:rsid w:val="009A326D"/>
    <w:rsid w:val="009A3F7F"/>
    <w:rsid w:val="009B238D"/>
    <w:rsid w:val="009C2330"/>
    <w:rsid w:val="009C777E"/>
    <w:rsid w:val="009E13B6"/>
    <w:rsid w:val="009F2C57"/>
    <w:rsid w:val="00A035F9"/>
    <w:rsid w:val="00A05B38"/>
    <w:rsid w:val="00A21D35"/>
    <w:rsid w:val="00A303B3"/>
    <w:rsid w:val="00A44F3B"/>
    <w:rsid w:val="00A453CA"/>
    <w:rsid w:val="00A50806"/>
    <w:rsid w:val="00A72289"/>
    <w:rsid w:val="00A76AF8"/>
    <w:rsid w:val="00A82FAB"/>
    <w:rsid w:val="00AA1E8E"/>
    <w:rsid w:val="00AC5B5B"/>
    <w:rsid w:val="00AD451B"/>
    <w:rsid w:val="00AE3CC7"/>
    <w:rsid w:val="00AF5C6F"/>
    <w:rsid w:val="00B005A4"/>
    <w:rsid w:val="00B014EF"/>
    <w:rsid w:val="00B04770"/>
    <w:rsid w:val="00B06BE9"/>
    <w:rsid w:val="00B278A2"/>
    <w:rsid w:val="00B316D0"/>
    <w:rsid w:val="00B33506"/>
    <w:rsid w:val="00B47F13"/>
    <w:rsid w:val="00B73EAE"/>
    <w:rsid w:val="00B809F2"/>
    <w:rsid w:val="00B816EC"/>
    <w:rsid w:val="00B8642B"/>
    <w:rsid w:val="00B93DF8"/>
    <w:rsid w:val="00BA31C0"/>
    <w:rsid w:val="00BA4653"/>
    <w:rsid w:val="00BD7605"/>
    <w:rsid w:val="00BE0678"/>
    <w:rsid w:val="00BE7301"/>
    <w:rsid w:val="00BF506B"/>
    <w:rsid w:val="00C023C0"/>
    <w:rsid w:val="00C06692"/>
    <w:rsid w:val="00C12989"/>
    <w:rsid w:val="00C257AF"/>
    <w:rsid w:val="00C261BE"/>
    <w:rsid w:val="00C34283"/>
    <w:rsid w:val="00C60DF9"/>
    <w:rsid w:val="00C65570"/>
    <w:rsid w:val="00C66608"/>
    <w:rsid w:val="00C70A4F"/>
    <w:rsid w:val="00C74311"/>
    <w:rsid w:val="00C769A6"/>
    <w:rsid w:val="00C8245C"/>
    <w:rsid w:val="00C833B2"/>
    <w:rsid w:val="00C843D8"/>
    <w:rsid w:val="00C85507"/>
    <w:rsid w:val="00C94FE9"/>
    <w:rsid w:val="00CA2DCD"/>
    <w:rsid w:val="00CB7E24"/>
    <w:rsid w:val="00CC45B2"/>
    <w:rsid w:val="00CC6D25"/>
    <w:rsid w:val="00CF6C29"/>
    <w:rsid w:val="00D15D22"/>
    <w:rsid w:val="00D163AA"/>
    <w:rsid w:val="00D17279"/>
    <w:rsid w:val="00D3261F"/>
    <w:rsid w:val="00D45D40"/>
    <w:rsid w:val="00D677CC"/>
    <w:rsid w:val="00D70FBB"/>
    <w:rsid w:val="00D71495"/>
    <w:rsid w:val="00D94FD9"/>
    <w:rsid w:val="00DB3FA9"/>
    <w:rsid w:val="00DB6BB4"/>
    <w:rsid w:val="00DD0722"/>
    <w:rsid w:val="00DD78CB"/>
    <w:rsid w:val="00E009A8"/>
    <w:rsid w:val="00E01C8D"/>
    <w:rsid w:val="00E17E16"/>
    <w:rsid w:val="00E24BDA"/>
    <w:rsid w:val="00E32A81"/>
    <w:rsid w:val="00E37BD1"/>
    <w:rsid w:val="00E44F7A"/>
    <w:rsid w:val="00E46913"/>
    <w:rsid w:val="00E723D3"/>
    <w:rsid w:val="00E739A2"/>
    <w:rsid w:val="00E82C60"/>
    <w:rsid w:val="00E844CE"/>
    <w:rsid w:val="00E92213"/>
    <w:rsid w:val="00EB45E8"/>
    <w:rsid w:val="00EB74BF"/>
    <w:rsid w:val="00EC2A01"/>
    <w:rsid w:val="00ED00D9"/>
    <w:rsid w:val="00ED21BB"/>
    <w:rsid w:val="00ED2C04"/>
    <w:rsid w:val="00EE1FB4"/>
    <w:rsid w:val="00F12C3B"/>
    <w:rsid w:val="00F16B59"/>
    <w:rsid w:val="00F20495"/>
    <w:rsid w:val="00F32B0F"/>
    <w:rsid w:val="00F33C4E"/>
    <w:rsid w:val="00F36DB5"/>
    <w:rsid w:val="00F41AD9"/>
    <w:rsid w:val="00F41B73"/>
    <w:rsid w:val="00F454B2"/>
    <w:rsid w:val="00F518CB"/>
    <w:rsid w:val="00F55084"/>
    <w:rsid w:val="00F565E2"/>
    <w:rsid w:val="00F569B0"/>
    <w:rsid w:val="00F579B4"/>
    <w:rsid w:val="00F61A50"/>
    <w:rsid w:val="00F714AC"/>
    <w:rsid w:val="00F95CA2"/>
    <w:rsid w:val="00F97CCD"/>
    <w:rsid w:val="00FB2399"/>
    <w:rsid w:val="00FB45C6"/>
    <w:rsid w:val="00FD4178"/>
    <w:rsid w:val="00FE34B1"/>
    <w:rsid w:val="00FE3925"/>
    <w:rsid w:val="00FE3C6E"/>
    <w:rsid w:val="00FE4B2B"/>
    <w:rsid w:val="00FF77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6700E9"/>
  <w15:chartTrackingRefBased/>
  <w15:docId w15:val="{DFEC881E-5089-4E81-87EF-8E04AB44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93F"/>
  </w:style>
  <w:style w:type="paragraph" w:styleId="Footer">
    <w:name w:val="footer"/>
    <w:basedOn w:val="Normal"/>
    <w:link w:val="FooterChar"/>
    <w:uiPriority w:val="99"/>
    <w:unhideWhenUsed/>
    <w:rsid w:val="00443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93F"/>
  </w:style>
  <w:style w:type="paragraph" w:customStyle="1" w:styleId="Default">
    <w:name w:val="Default"/>
    <w:rsid w:val="0044393F"/>
    <w:pPr>
      <w:autoSpaceDE w:val="0"/>
      <w:autoSpaceDN w:val="0"/>
      <w:adjustRightInd w:val="0"/>
      <w:spacing w:after="0" w:line="240" w:lineRule="auto"/>
    </w:pPr>
    <w:rPr>
      <w:rFonts w:ascii="Abadi" w:hAnsi="Abadi" w:cs="Abadi"/>
      <w:color w:val="000000"/>
      <w:sz w:val="24"/>
      <w:szCs w:val="24"/>
    </w:rPr>
  </w:style>
  <w:style w:type="table" w:styleId="TableGrid">
    <w:name w:val="Table Grid"/>
    <w:basedOn w:val="TableNormal"/>
    <w:uiPriority w:val="39"/>
    <w:rsid w:val="00857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7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AU"/>
              <a:t>Population Comparision by Age - Town of Pingelly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8.3578391084952769E-2"/>
          <c:y val="0.16484444444444443"/>
          <c:w val="0.89173025089035585"/>
          <c:h val="0.54684335189808586"/>
        </c:manualLayout>
      </c:layout>
      <c:lineChart>
        <c:grouping val="standard"/>
        <c:varyColors val="0"/>
        <c:ser>
          <c:idx val="0"/>
          <c:order val="0"/>
          <c:tx>
            <c:strRef>
              <c:f>Sheet1!$B$1</c:f>
              <c:strCache>
                <c:ptCount val="1"/>
                <c:pt idx="0">
                  <c:v>Town of Pingelly</c:v>
                </c:pt>
              </c:strCache>
            </c:strRef>
          </c:tx>
          <c:spPr>
            <a:ln w="28575" cap="rnd">
              <a:solidFill>
                <a:schemeClr val="accent1"/>
              </a:solidFill>
              <a:round/>
            </a:ln>
            <a:effectLst/>
          </c:spPr>
          <c:marker>
            <c:symbol val="none"/>
          </c:marker>
          <c:cat>
            <c:strRef>
              <c:f>Sheet1!$A$2:$A$12</c:f>
              <c:strCache>
                <c:ptCount val="11"/>
                <c:pt idx="0">
                  <c:v>5-9 years</c:v>
                </c:pt>
                <c:pt idx="1">
                  <c:v>10-14 years</c:v>
                </c:pt>
                <c:pt idx="2">
                  <c:v>15-19 years</c:v>
                </c:pt>
                <c:pt idx="3">
                  <c:v>20-24 years</c:v>
                </c:pt>
                <c:pt idx="4">
                  <c:v>25-29 years</c:v>
                </c:pt>
                <c:pt idx="5">
                  <c:v>30-34 years</c:v>
                </c:pt>
                <c:pt idx="6">
                  <c:v>35-39 years</c:v>
                </c:pt>
                <c:pt idx="7">
                  <c:v>40-44 years</c:v>
                </c:pt>
                <c:pt idx="8">
                  <c:v>45-49 years</c:v>
                </c:pt>
                <c:pt idx="9">
                  <c:v>50-54 years</c:v>
                </c:pt>
                <c:pt idx="10">
                  <c:v>55-59 years</c:v>
                </c:pt>
              </c:strCache>
            </c:strRef>
          </c:cat>
          <c:val>
            <c:numRef>
              <c:f>Sheet1!$B$2:$B$12</c:f>
              <c:numCache>
                <c:formatCode>0.00%</c:formatCode>
                <c:ptCount val="11"/>
                <c:pt idx="0">
                  <c:v>5.5E-2</c:v>
                </c:pt>
                <c:pt idx="1">
                  <c:v>6.8000000000000005E-2</c:v>
                </c:pt>
                <c:pt idx="2">
                  <c:v>4.1000000000000002E-2</c:v>
                </c:pt>
                <c:pt idx="3">
                  <c:v>3.9E-2</c:v>
                </c:pt>
                <c:pt idx="4">
                  <c:v>4.7E-2</c:v>
                </c:pt>
                <c:pt idx="5">
                  <c:v>3.5999999999999997E-2</c:v>
                </c:pt>
                <c:pt idx="6">
                  <c:v>3.5999999999999997E-2</c:v>
                </c:pt>
                <c:pt idx="7">
                  <c:v>3.5000000000000003E-2</c:v>
                </c:pt>
                <c:pt idx="8">
                  <c:v>5.3999999999999999E-2</c:v>
                </c:pt>
                <c:pt idx="9">
                  <c:v>7.3999999999999996E-2</c:v>
                </c:pt>
                <c:pt idx="10">
                  <c:v>8.4000000000000005E-2</c:v>
                </c:pt>
              </c:numCache>
            </c:numRef>
          </c:val>
          <c:smooth val="0"/>
          <c:extLst>
            <c:ext xmlns:c16="http://schemas.microsoft.com/office/drawing/2014/chart" uri="{C3380CC4-5D6E-409C-BE32-E72D297353CC}">
              <c16:uniqueId val="{00000000-5641-45F8-89BE-C0CF8CC8C250}"/>
            </c:ext>
          </c:extLst>
        </c:ser>
        <c:ser>
          <c:idx val="1"/>
          <c:order val="1"/>
          <c:tx>
            <c:strRef>
              <c:f>Sheet1!$C$1</c:f>
              <c:strCache>
                <c:ptCount val="1"/>
                <c:pt idx="0">
                  <c:v>Town of Narrogin</c:v>
                </c:pt>
              </c:strCache>
            </c:strRef>
          </c:tx>
          <c:spPr>
            <a:ln w="28575" cap="rnd">
              <a:solidFill>
                <a:schemeClr val="accent2"/>
              </a:solidFill>
              <a:round/>
            </a:ln>
            <a:effectLst/>
          </c:spPr>
          <c:marker>
            <c:symbol val="none"/>
          </c:marker>
          <c:cat>
            <c:strRef>
              <c:f>Sheet1!$A$2:$A$12</c:f>
              <c:strCache>
                <c:ptCount val="11"/>
                <c:pt idx="0">
                  <c:v>5-9 years</c:v>
                </c:pt>
                <c:pt idx="1">
                  <c:v>10-14 years</c:v>
                </c:pt>
                <c:pt idx="2">
                  <c:v>15-19 years</c:v>
                </c:pt>
                <c:pt idx="3">
                  <c:v>20-24 years</c:v>
                </c:pt>
                <c:pt idx="4">
                  <c:v>25-29 years</c:v>
                </c:pt>
                <c:pt idx="5">
                  <c:v>30-34 years</c:v>
                </c:pt>
                <c:pt idx="6">
                  <c:v>35-39 years</c:v>
                </c:pt>
                <c:pt idx="7">
                  <c:v>40-44 years</c:v>
                </c:pt>
                <c:pt idx="8">
                  <c:v>45-49 years</c:v>
                </c:pt>
                <c:pt idx="9">
                  <c:v>50-54 years</c:v>
                </c:pt>
                <c:pt idx="10">
                  <c:v>55-59 years</c:v>
                </c:pt>
              </c:strCache>
            </c:strRef>
          </c:cat>
          <c:val>
            <c:numRef>
              <c:f>Sheet1!$C$2:$C$12</c:f>
              <c:numCache>
                <c:formatCode>0.00%</c:formatCode>
                <c:ptCount val="11"/>
                <c:pt idx="0">
                  <c:v>7.4999999999999997E-2</c:v>
                </c:pt>
                <c:pt idx="1">
                  <c:v>7.2999999999999995E-2</c:v>
                </c:pt>
                <c:pt idx="2">
                  <c:v>7.0000000000000007E-2</c:v>
                </c:pt>
                <c:pt idx="3">
                  <c:v>5.7000000000000002E-2</c:v>
                </c:pt>
                <c:pt idx="4">
                  <c:v>5.6000000000000001E-2</c:v>
                </c:pt>
                <c:pt idx="5">
                  <c:v>5.8000000000000003E-2</c:v>
                </c:pt>
                <c:pt idx="6">
                  <c:v>4.9000000000000002E-2</c:v>
                </c:pt>
                <c:pt idx="7">
                  <c:v>5.5E-2</c:v>
                </c:pt>
                <c:pt idx="8">
                  <c:v>6.3E-2</c:v>
                </c:pt>
                <c:pt idx="9">
                  <c:v>5.7000000000000002E-2</c:v>
                </c:pt>
                <c:pt idx="10">
                  <c:v>7.0999999999999994E-2</c:v>
                </c:pt>
              </c:numCache>
            </c:numRef>
          </c:val>
          <c:smooth val="0"/>
          <c:extLst>
            <c:ext xmlns:c16="http://schemas.microsoft.com/office/drawing/2014/chart" uri="{C3380CC4-5D6E-409C-BE32-E72D297353CC}">
              <c16:uniqueId val="{00000001-5641-45F8-89BE-C0CF8CC8C250}"/>
            </c:ext>
          </c:extLst>
        </c:ser>
        <c:ser>
          <c:idx val="2"/>
          <c:order val="2"/>
          <c:tx>
            <c:strRef>
              <c:f>Sheet1!$D$1</c:f>
              <c:strCache>
                <c:ptCount val="1"/>
                <c:pt idx="0">
                  <c:v>Western Australia</c:v>
                </c:pt>
              </c:strCache>
            </c:strRef>
          </c:tx>
          <c:spPr>
            <a:ln w="28575" cap="rnd">
              <a:solidFill>
                <a:schemeClr val="accent3"/>
              </a:solidFill>
              <a:round/>
            </a:ln>
            <a:effectLst/>
          </c:spPr>
          <c:marker>
            <c:symbol val="none"/>
          </c:marker>
          <c:cat>
            <c:strRef>
              <c:f>Sheet1!$A$2:$A$12</c:f>
              <c:strCache>
                <c:ptCount val="11"/>
                <c:pt idx="0">
                  <c:v>5-9 years</c:v>
                </c:pt>
                <c:pt idx="1">
                  <c:v>10-14 years</c:v>
                </c:pt>
                <c:pt idx="2">
                  <c:v>15-19 years</c:v>
                </c:pt>
                <c:pt idx="3">
                  <c:v>20-24 years</c:v>
                </c:pt>
                <c:pt idx="4">
                  <c:v>25-29 years</c:v>
                </c:pt>
                <c:pt idx="5">
                  <c:v>30-34 years</c:v>
                </c:pt>
                <c:pt idx="6">
                  <c:v>35-39 years</c:v>
                </c:pt>
                <c:pt idx="7">
                  <c:v>40-44 years</c:v>
                </c:pt>
                <c:pt idx="8">
                  <c:v>45-49 years</c:v>
                </c:pt>
                <c:pt idx="9">
                  <c:v>50-54 years</c:v>
                </c:pt>
                <c:pt idx="10">
                  <c:v>55-59 years</c:v>
                </c:pt>
              </c:strCache>
            </c:strRef>
          </c:cat>
          <c:val>
            <c:numRef>
              <c:f>Sheet1!$D$2:$D$12</c:f>
              <c:numCache>
                <c:formatCode>0.00%</c:formatCode>
                <c:ptCount val="11"/>
                <c:pt idx="0">
                  <c:v>6.6000000000000003E-2</c:v>
                </c:pt>
                <c:pt idx="1">
                  <c:v>6.0999999999999999E-2</c:v>
                </c:pt>
                <c:pt idx="2">
                  <c:v>6.0999999999999999E-2</c:v>
                </c:pt>
                <c:pt idx="3">
                  <c:v>6.5000000000000002E-2</c:v>
                </c:pt>
                <c:pt idx="4">
                  <c:v>7.4999999999999997E-2</c:v>
                </c:pt>
                <c:pt idx="5">
                  <c:v>7.9000000000000001E-2</c:v>
                </c:pt>
                <c:pt idx="6" formatCode="0%">
                  <c:v>7.0000000000000007E-2</c:v>
                </c:pt>
                <c:pt idx="7" formatCode="0%">
                  <c:v>7.0000000000000007E-2</c:v>
                </c:pt>
                <c:pt idx="8" formatCode="0%">
                  <c:v>7.0000000000000007E-2</c:v>
                </c:pt>
                <c:pt idx="9">
                  <c:v>6.6000000000000003E-2</c:v>
                </c:pt>
                <c:pt idx="10">
                  <c:v>6.0999999999999999E-2</c:v>
                </c:pt>
              </c:numCache>
            </c:numRef>
          </c:val>
          <c:smooth val="0"/>
          <c:extLst>
            <c:ext xmlns:c16="http://schemas.microsoft.com/office/drawing/2014/chart" uri="{C3380CC4-5D6E-409C-BE32-E72D297353CC}">
              <c16:uniqueId val="{00000002-5641-45F8-89BE-C0CF8CC8C250}"/>
            </c:ext>
          </c:extLst>
        </c:ser>
        <c:ser>
          <c:idx val="3"/>
          <c:order val="3"/>
          <c:tx>
            <c:strRef>
              <c:f>Sheet1!$E$1</c:f>
              <c:strCache>
                <c:ptCount val="1"/>
                <c:pt idx="0">
                  <c:v>Australia</c:v>
                </c:pt>
              </c:strCache>
            </c:strRef>
          </c:tx>
          <c:spPr>
            <a:ln w="28575" cap="rnd">
              <a:solidFill>
                <a:srgbClr val="00B050"/>
              </a:solidFill>
              <a:round/>
            </a:ln>
            <a:effectLst/>
          </c:spPr>
          <c:marker>
            <c:symbol val="none"/>
          </c:marker>
          <c:cat>
            <c:strRef>
              <c:f>Sheet1!$A$2:$A$12</c:f>
              <c:strCache>
                <c:ptCount val="11"/>
                <c:pt idx="0">
                  <c:v>5-9 years</c:v>
                </c:pt>
                <c:pt idx="1">
                  <c:v>10-14 years</c:v>
                </c:pt>
                <c:pt idx="2">
                  <c:v>15-19 years</c:v>
                </c:pt>
                <c:pt idx="3">
                  <c:v>20-24 years</c:v>
                </c:pt>
                <c:pt idx="4">
                  <c:v>25-29 years</c:v>
                </c:pt>
                <c:pt idx="5">
                  <c:v>30-34 years</c:v>
                </c:pt>
                <c:pt idx="6">
                  <c:v>35-39 years</c:v>
                </c:pt>
                <c:pt idx="7">
                  <c:v>40-44 years</c:v>
                </c:pt>
                <c:pt idx="8">
                  <c:v>45-49 years</c:v>
                </c:pt>
                <c:pt idx="9">
                  <c:v>50-54 years</c:v>
                </c:pt>
                <c:pt idx="10">
                  <c:v>55-59 years</c:v>
                </c:pt>
              </c:strCache>
            </c:strRef>
          </c:cat>
          <c:val>
            <c:numRef>
              <c:f>Sheet1!$E$2:$E$12</c:f>
              <c:numCache>
                <c:formatCode>0%</c:formatCode>
                <c:ptCount val="11"/>
                <c:pt idx="0" formatCode="0.00%">
                  <c:v>6.4000000000000001E-2</c:v>
                </c:pt>
                <c:pt idx="1">
                  <c:v>0.06</c:v>
                </c:pt>
                <c:pt idx="2" formatCode="0.00%">
                  <c:v>6.0999999999999999E-2</c:v>
                </c:pt>
                <c:pt idx="3" formatCode="0.00%">
                  <c:v>6.7000000000000004E-2</c:v>
                </c:pt>
                <c:pt idx="4" formatCode="0.00%">
                  <c:v>7.0999999999999994E-2</c:v>
                </c:pt>
                <c:pt idx="5" formatCode="0.00%">
                  <c:v>7.2999999999999995E-2</c:v>
                </c:pt>
                <c:pt idx="6" formatCode="0.00%">
                  <c:v>6.7000000000000004E-2</c:v>
                </c:pt>
                <c:pt idx="7" formatCode="0.00%">
                  <c:v>6.8000000000000005E-2</c:v>
                </c:pt>
                <c:pt idx="8" formatCode="0.00%">
                  <c:v>6.8000000000000005E-2</c:v>
                </c:pt>
                <c:pt idx="9" formatCode="0.00%">
                  <c:v>6.5000000000000002E-2</c:v>
                </c:pt>
                <c:pt idx="10" formatCode="0.00%">
                  <c:v>6.2E-2</c:v>
                </c:pt>
              </c:numCache>
            </c:numRef>
          </c:val>
          <c:smooth val="0"/>
          <c:extLst>
            <c:ext xmlns:c16="http://schemas.microsoft.com/office/drawing/2014/chart" uri="{C3380CC4-5D6E-409C-BE32-E72D297353CC}">
              <c16:uniqueId val="{00000004-5641-45F8-89BE-C0CF8CC8C250}"/>
            </c:ext>
          </c:extLst>
        </c:ser>
        <c:dLbls>
          <c:showLegendKey val="0"/>
          <c:showVal val="0"/>
          <c:showCatName val="0"/>
          <c:showSerName val="0"/>
          <c:showPercent val="0"/>
          <c:showBubbleSize val="0"/>
        </c:dLbls>
        <c:smooth val="0"/>
        <c:axId val="571182320"/>
        <c:axId val="571184288"/>
      </c:lineChart>
      <c:catAx>
        <c:axId val="57118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1184288"/>
        <c:crosses val="autoZero"/>
        <c:auto val="1"/>
        <c:lblAlgn val="ctr"/>
        <c:lblOffset val="100"/>
        <c:noMultiLvlLbl val="0"/>
      </c:catAx>
      <c:valAx>
        <c:axId val="571184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1182320"/>
        <c:crosses val="autoZero"/>
        <c:crossBetween val="between"/>
      </c:valAx>
      <c:spPr>
        <a:noFill/>
        <a:ln>
          <a:noFill/>
        </a:ln>
        <a:effectLst/>
      </c:spPr>
    </c:plotArea>
    <c:legend>
      <c:legendPos val="b"/>
      <c:layout>
        <c:manualLayout>
          <c:xMode val="edge"/>
          <c:yMode val="edge"/>
          <c:x val="7.9767756303189372E-2"/>
          <c:y val="0.61854522757826003"/>
          <c:w val="0.90555988582235303"/>
          <c:h val="7.4503832716274712E-2"/>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mn-lt"/>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0.20875</cdr:x>
      <cdr:y>0.82927</cdr:y>
    </cdr:from>
    <cdr:to>
      <cdr:x>0.33288</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1181100" y="2590800"/>
          <a:ext cx="702310" cy="5334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07000"/>
            </a:lnSpc>
            <a:spcAft>
              <a:spcPts val="800"/>
            </a:spcAft>
          </a:pPr>
          <a:r>
            <a:rPr lang="en-AU" sz="900">
              <a:ln>
                <a:noFill/>
              </a:ln>
              <a:solidFill>
                <a:sysClr val="windowText" lastClr="000000"/>
              </a:solidFill>
              <a:effectLst/>
              <a:latin typeface="Calibri" panose="020F0502020204030204" pitchFamily="34" charset="0"/>
              <a:ea typeface="Calibri" panose="020F0502020204030204" pitchFamily="34" charset="0"/>
              <a:cs typeface="Times New Roman" panose="02020603050405020304" pitchFamily="18" charset="0"/>
            </a:rPr>
            <a:t>Secondary School</a:t>
          </a:r>
          <a:r>
            <a:rPr lang="en-AU" sz="900" baseline="0">
              <a:ln>
                <a:noFill/>
              </a:ln>
              <a:solidFill>
                <a:sysClr val="windowText" lastClr="000000"/>
              </a:solidFill>
              <a:effectLst/>
              <a:latin typeface="Calibri" panose="020F0502020204030204" pitchFamily="34" charset="0"/>
              <a:ea typeface="Calibri" panose="020F0502020204030204" pitchFamily="34" charset="0"/>
              <a:cs typeface="Times New Roman" panose="02020603050405020304" pitchFamily="18" charset="0"/>
            </a:rPr>
            <a:t> </a:t>
          </a:r>
          <a:r>
            <a:rPr lang="en-AU" sz="900">
              <a:ln>
                <a:noFill/>
              </a:ln>
              <a:solidFill>
                <a:sysClr val="windowText" lastClr="000000"/>
              </a:solidFill>
              <a:effectLst/>
              <a:latin typeface="Calibri" panose="020F0502020204030204" pitchFamily="34" charset="0"/>
              <a:ea typeface="Calibri" panose="020F0502020204030204" pitchFamily="34" charset="0"/>
              <a:cs typeface="Times New Roman" panose="02020603050405020304" pitchFamily="18" charset="0"/>
            </a:rPr>
            <a:t>Students</a:t>
          </a:r>
          <a:endParaRPr lang="en-AU" sz="1100">
            <a:solidFill>
              <a:sysClr val="windowText" lastClr="000000"/>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0.38429</cdr:x>
      <cdr:y>0.83232</cdr:y>
    </cdr:from>
    <cdr:to>
      <cdr:x>0.51178</cdr:x>
      <cdr:y>0.99695</cdr:y>
    </cdr:to>
    <cdr:sp macro="" textlink="">
      <cdr:nvSpPr>
        <cdr:cNvPr id="3" name="Text Box 2"/>
        <cdr:cNvSpPr txBox="1">
          <a:spLocks xmlns:a="http://schemas.openxmlformats.org/drawingml/2006/main" noChangeArrowheads="1"/>
        </cdr:cNvSpPr>
      </cdr:nvSpPr>
      <cdr:spPr bwMode="auto">
        <a:xfrm xmlns:a="http://schemas.openxmlformats.org/drawingml/2006/main">
          <a:off x="2174241" y="2600325"/>
          <a:ext cx="721360" cy="51435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07000"/>
            </a:lnSpc>
            <a:spcAft>
              <a:spcPts val="800"/>
            </a:spcAft>
          </a:pPr>
          <a:r>
            <a:rPr lang="en-AU" sz="900">
              <a:ln>
                <a:noFill/>
              </a:ln>
              <a:effectLst/>
              <a:latin typeface="Calibri" panose="020F0502020204030204" pitchFamily="34" charset="0"/>
              <a:ea typeface="Calibri" panose="020F0502020204030204" pitchFamily="34" charset="0"/>
              <a:cs typeface="Times New Roman" panose="02020603050405020304" pitchFamily="18" charset="0"/>
            </a:rPr>
            <a:t>Primary School Parents</a:t>
          </a:r>
          <a:endParaRPr lang="en-AU"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0.48036</cdr:x>
      <cdr:y>0.83232</cdr:y>
    </cdr:from>
    <cdr:to>
      <cdr:x>0.74242</cdr:x>
      <cdr:y>0.9878</cdr:y>
    </cdr:to>
    <cdr:sp macro="" textlink="">
      <cdr:nvSpPr>
        <cdr:cNvPr id="4" name="Text Box 2"/>
        <cdr:cNvSpPr txBox="1">
          <a:spLocks xmlns:a="http://schemas.openxmlformats.org/drawingml/2006/main" noChangeArrowheads="1"/>
        </cdr:cNvSpPr>
      </cdr:nvSpPr>
      <cdr:spPr bwMode="auto">
        <a:xfrm xmlns:a="http://schemas.openxmlformats.org/drawingml/2006/main">
          <a:off x="2717799" y="2600325"/>
          <a:ext cx="1482726" cy="4857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07000"/>
            </a:lnSpc>
            <a:spcAft>
              <a:spcPts val="800"/>
            </a:spcAft>
          </a:pPr>
          <a:r>
            <a:rPr lang="en-AU" sz="900">
              <a:ln>
                <a:noFill/>
              </a:ln>
              <a:effectLst/>
              <a:latin typeface="Calibri" panose="020F0502020204030204" pitchFamily="34" charset="0"/>
              <a:ea typeface="Calibri" panose="020F0502020204030204" pitchFamily="34" charset="0"/>
              <a:cs typeface="Times New Roman" panose="02020603050405020304" pitchFamily="18" charset="0"/>
            </a:rPr>
            <a:t>Secondary School</a:t>
          </a:r>
          <a:r>
            <a:rPr lang="en-AU" sz="900" baseline="0">
              <a:ln>
                <a:noFill/>
              </a:ln>
              <a:effectLst/>
              <a:latin typeface="Calibri" panose="020F0502020204030204" pitchFamily="34" charset="0"/>
              <a:ea typeface="Calibri" panose="020F0502020204030204" pitchFamily="34" charset="0"/>
              <a:cs typeface="Times New Roman" panose="02020603050405020304" pitchFamily="18" charset="0"/>
            </a:rPr>
            <a:t> Parent</a:t>
          </a:r>
          <a:r>
            <a:rPr lang="en-AU" sz="900">
              <a:ln>
                <a:noFill/>
              </a:ln>
              <a:effectLst/>
              <a:latin typeface="Calibri" panose="020F0502020204030204" pitchFamily="34" charset="0"/>
              <a:ea typeface="Calibri" panose="020F0502020204030204" pitchFamily="34" charset="0"/>
              <a:cs typeface="Times New Roman" panose="02020603050405020304" pitchFamily="18" charset="0"/>
            </a:rPr>
            <a:t>s</a:t>
          </a:r>
          <a:endParaRPr lang="en-AU"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0.7468</cdr:x>
      <cdr:y>0.82622</cdr:y>
    </cdr:from>
    <cdr:to>
      <cdr:x>0.95623</cdr:x>
      <cdr:y>0.99085</cdr:y>
    </cdr:to>
    <cdr:sp macro="" textlink="">
      <cdr:nvSpPr>
        <cdr:cNvPr id="5" name="Text Box 1"/>
        <cdr:cNvSpPr txBox="1">
          <a:spLocks xmlns:a="http://schemas.openxmlformats.org/drawingml/2006/main" noChangeArrowheads="1"/>
        </cdr:cNvSpPr>
      </cdr:nvSpPr>
      <cdr:spPr bwMode="auto">
        <a:xfrm xmlns:a="http://schemas.openxmlformats.org/drawingml/2006/main">
          <a:off x="4225290" y="2581274"/>
          <a:ext cx="1184909" cy="51435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07000"/>
            </a:lnSpc>
            <a:spcAft>
              <a:spcPts val="800"/>
            </a:spcAft>
          </a:pPr>
          <a:r>
            <a:rPr lang="en-AU" sz="900">
              <a:ln>
                <a:noFill/>
              </a:ln>
              <a:effectLst/>
              <a:latin typeface="Calibri" panose="020F0502020204030204" pitchFamily="34" charset="0"/>
              <a:ea typeface="Calibri" panose="020F0502020204030204" pitchFamily="34" charset="0"/>
              <a:cs typeface="Times New Roman" panose="02020603050405020304" pitchFamily="18" charset="0"/>
            </a:rPr>
            <a:t>Empty Nesters</a:t>
          </a:r>
        </a:p>
        <a:p xmlns:a="http://schemas.openxmlformats.org/drawingml/2006/main">
          <a:pPr algn="ctr">
            <a:lnSpc>
              <a:spcPct val="107000"/>
            </a:lnSpc>
            <a:spcAft>
              <a:spcPts val="800"/>
            </a:spcAft>
          </a:pPr>
          <a:endParaRPr lang="en-AU"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0.71886</cdr:x>
      <cdr:y>0.92378</cdr:y>
    </cdr:from>
    <cdr:to>
      <cdr:x>0.98316</cdr:x>
      <cdr:y>1</cdr:y>
    </cdr:to>
    <cdr:sp macro="" textlink="">
      <cdr:nvSpPr>
        <cdr:cNvPr id="7" name="Text Box 1"/>
        <cdr:cNvSpPr txBox="1">
          <a:spLocks xmlns:a="http://schemas.openxmlformats.org/drawingml/2006/main" noChangeArrowheads="1"/>
        </cdr:cNvSpPr>
      </cdr:nvSpPr>
      <cdr:spPr bwMode="auto">
        <a:xfrm xmlns:a="http://schemas.openxmlformats.org/drawingml/2006/main">
          <a:off x="4067176" y="2886075"/>
          <a:ext cx="1495424" cy="23812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lnSpc>
              <a:spcPct val="107000"/>
            </a:lnSpc>
            <a:spcAft>
              <a:spcPts val="800"/>
            </a:spcAft>
          </a:pPr>
          <a:r>
            <a:rPr lang="en-AU" sz="900">
              <a:effectLst/>
              <a:latin typeface="Calibri" panose="020F0502020204030204" pitchFamily="34" charset="0"/>
              <a:ea typeface="Calibri" panose="020F0502020204030204" pitchFamily="34" charset="0"/>
              <a:cs typeface="Times New Roman" panose="02020603050405020304" pitchFamily="18" charset="0"/>
            </a:rPr>
            <a:t>Data Source:</a:t>
          </a:r>
          <a:r>
            <a:rPr lang="en-AU" sz="900" baseline="0">
              <a:effectLst/>
              <a:latin typeface="Calibri" panose="020F0502020204030204" pitchFamily="34" charset="0"/>
              <a:ea typeface="Calibri" panose="020F0502020204030204" pitchFamily="34" charset="0"/>
              <a:cs typeface="Times New Roman" panose="02020603050405020304" pitchFamily="18" charset="0"/>
            </a:rPr>
            <a:t> Census 2016</a:t>
          </a:r>
          <a:endParaRPr lang="en-AU"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4</Pages>
  <Words>1654</Words>
  <Characters>9663</Characters>
  <Application>Microsoft Office Word</Application>
  <DocSecurity>0</DocSecurity>
  <Lines>603</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Dover</dc:creator>
  <cp:keywords/>
  <dc:description/>
  <cp:lastModifiedBy>Andrew Dover</cp:lastModifiedBy>
  <cp:revision>275</cp:revision>
  <dcterms:created xsi:type="dcterms:W3CDTF">2021-10-06T07:50:00Z</dcterms:created>
  <dcterms:modified xsi:type="dcterms:W3CDTF">2021-10-08T08:07:00Z</dcterms:modified>
</cp:coreProperties>
</file>